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C877" w14:textId="0CBBFBEE" w:rsidR="00225419" w:rsidRDefault="00225419" w:rsidP="00F60EC3">
      <w:pPr>
        <w:jc w:val="both"/>
      </w:pPr>
      <w:r>
        <w:rPr>
          <w:b/>
          <w:bCs/>
        </w:rPr>
        <w:t xml:space="preserve">Titre : </w:t>
      </w:r>
      <w:r w:rsidR="00F60EC3" w:rsidRPr="00F60EC3">
        <w:t xml:space="preserve">Littératie en santé et adhésion médicamenteuse des patients atteints de maladies non transmissibles </w:t>
      </w:r>
      <w:r w:rsidR="00BF2441">
        <w:t>consultant</w:t>
      </w:r>
      <w:r w:rsidR="00CD0969">
        <w:t xml:space="preserve"> </w:t>
      </w:r>
      <w:r w:rsidR="00F60EC3" w:rsidRPr="00F60EC3">
        <w:t>au CNHU-HKM de Cotonou en 2025</w:t>
      </w:r>
    </w:p>
    <w:p w14:paraId="3D923539" w14:textId="77777777" w:rsidR="00225419" w:rsidRDefault="00225419" w:rsidP="00B64035">
      <w:pPr>
        <w:jc w:val="both"/>
      </w:pPr>
    </w:p>
    <w:p w14:paraId="7488E80F" w14:textId="3661C7A6" w:rsidR="00225419" w:rsidRDefault="00225419" w:rsidP="00B64035">
      <w:pPr>
        <w:jc w:val="both"/>
        <w:rPr>
          <w:vertAlign w:val="superscript"/>
        </w:rPr>
      </w:pPr>
      <w:r w:rsidRPr="00225419">
        <w:rPr>
          <w:b/>
          <w:bCs/>
        </w:rPr>
        <w:t>Auteurs :</w:t>
      </w:r>
      <w:r>
        <w:t xml:space="preserve"> Hélène Robin Sacca</w:t>
      </w:r>
      <w:r w:rsidR="00963DA7">
        <w:rPr>
          <w:vertAlign w:val="superscript"/>
        </w:rPr>
        <w:t>1,2</w:t>
      </w:r>
      <w:r>
        <w:t>, Imane El Bakkali</w:t>
      </w:r>
      <w:r w:rsidR="00963DA7">
        <w:rPr>
          <w:vertAlign w:val="superscript"/>
        </w:rPr>
        <w:t>3</w:t>
      </w:r>
      <w:r>
        <w:t>, Boushra Adi</w:t>
      </w:r>
      <w:r w:rsidR="00BF2441">
        <w:t>o</w:t>
      </w:r>
      <w:r w:rsidR="00963DA7">
        <w:rPr>
          <w:vertAlign w:val="superscript"/>
        </w:rPr>
        <w:t>4</w:t>
      </w:r>
      <w:r>
        <w:t>, Habib Ganfon</w:t>
      </w:r>
      <w:r w:rsidR="00963DA7">
        <w:rPr>
          <w:vertAlign w:val="superscript"/>
        </w:rPr>
        <w:t>4</w:t>
      </w:r>
      <w:r w:rsidR="0015103A">
        <w:rPr>
          <w:vertAlign w:val="superscript"/>
        </w:rPr>
        <w:t>,5</w:t>
      </w:r>
      <w:r>
        <w:t>, Ghislain Emmanuel Sopoh</w:t>
      </w:r>
      <w:r w:rsidR="0015103A">
        <w:rPr>
          <w:vertAlign w:val="superscript"/>
        </w:rPr>
        <w:t>6</w:t>
      </w:r>
      <w:r>
        <w:t>, Jérémy Jost</w:t>
      </w:r>
      <w:r w:rsidR="00963DA7">
        <w:rPr>
          <w:vertAlign w:val="superscript"/>
        </w:rPr>
        <w:t>2</w:t>
      </w:r>
    </w:p>
    <w:p w14:paraId="7B2F9921" w14:textId="184310EE" w:rsidR="00963DA7" w:rsidRPr="00A61FFD" w:rsidRDefault="00963DA7" w:rsidP="0015103A">
      <w:pPr>
        <w:jc w:val="both"/>
      </w:pPr>
      <w:r>
        <w:rPr>
          <w:vertAlign w:val="superscript"/>
        </w:rPr>
        <w:t>1</w:t>
      </w:r>
      <w:r w:rsidR="00A61FFD">
        <w:t xml:space="preserve"> Laboratoire d’Épidémiologie des Maladies Chroniques et Neurologiques (LEMACEN), École Doctorale des Sciences de la Santé, Université d’Abomey-Calavi, Cotonou, Bénin</w:t>
      </w:r>
    </w:p>
    <w:p w14:paraId="36C015CD" w14:textId="0FA68504" w:rsidR="00963DA7" w:rsidRPr="00771993" w:rsidRDefault="00963DA7" w:rsidP="0015103A">
      <w:pPr>
        <w:jc w:val="both"/>
      </w:pPr>
      <w:r w:rsidRPr="00771993">
        <w:rPr>
          <w:vertAlign w:val="superscript"/>
          <w:lang w:val="en-US"/>
        </w:rPr>
        <w:t>2</w:t>
      </w:r>
      <w:r w:rsidR="00A61FFD" w:rsidRPr="00771993">
        <w:rPr>
          <w:lang w:val="en-US"/>
        </w:rPr>
        <w:t xml:space="preserve"> </w:t>
      </w:r>
      <w:r w:rsidR="00771993" w:rsidRPr="00771993">
        <w:rPr>
          <w:lang w:val="en-US"/>
        </w:rPr>
        <w:t xml:space="preserve">Inserm U1094, IRD U270, Univ. </w:t>
      </w:r>
      <w:r w:rsidR="00771993" w:rsidRPr="00771993">
        <w:t>Limoges, CHU Limoges, EpiMaCT – Epidemiolog</w:t>
      </w:r>
      <w:r w:rsidR="00771993" w:rsidRPr="00771993">
        <w:t>ie des maladies chroniques en zone</w:t>
      </w:r>
      <w:r w:rsidR="00771993" w:rsidRPr="00771993">
        <w:t xml:space="preserve"> tropical</w:t>
      </w:r>
      <w:r w:rsidR="00771993">
        <w:t>e</w:t>
      </w:r>
      <w:r w:rsidR="00771993" w:rsidRPr="00771993">
        <w:t xml:space="preserve">, U1094 Institut </w:t>
      </w:r>
      <w:r w:rsidR="00771993">
        <w:t>d’</w:t>
      </w:r>
      <w:r w:rsidR="00771993" w:rsidRPr="00771993">
        <w:t>Epidemiolog</w:t>
      </w:r>
      <w:r w:rsidR="00771993">
        <w:t>ie</w:t>
      </w:r>
      <w:r w:rsidR="00771993" w:rsidRPr="00771993">
        <w:t xml:space="preserve"> </w:t>
      </w:r>
      <w:r w:rsidR="00771993">
        <w:t>et de</w:t>
      </w:r>
      <w:r w:rsidR="00771993" w:rsidRPr="00771993">
        <w:t xml:space="preserve"> Neurolog</w:t>
      </w:r>
      <w:r w:rsidR="00771993">
        <w:t>ie</w:t>
      </w:r>
      <w:r w:rsidR="00771993" w:rsidRPr="00771993">
        <w:t xml:space="preserve"> </w:t>
      </w:r>
      <w:r w:rsidR="00771993" w:rsidRPr="00771993">
        <w:t>Tropical</w:t>
      </w:r>
      <w:r w:rsidR="00771993">
        <w:t>e</w:t>
      </w:r>
      <w:r w:rsidR="00771993" w:rsidRPr="00771993">
        <w:t>, OmegaHealth, Limoges, France</w:t>
      </w:r>
    </w:p>
    <w:p w14:paraId="693B6A2C" w14:textId="0D6A4588" w:rsidR="00963DA7" w:rsidRPr="00963DA7" w:rsidRDefault="00963DA7" w:rsidP="0015103A">
      <w:pPr>
        <w:jc w:val="both"/>
      </w:pPr>
      <w:r>
        <w:rPr>
          <w:vertAlign w:val="superscript"/>
        </w:rPr>
        <w:t>3</w:t>
      </w:r>
      <w:r>
        <w:t xml:space="preserve"> </w:t>
      </w:r>
      <w:r w:rsidRPr="00963DA7">
        <w:t>Clinical Pharmacy Research Group (CLIP), Louvain Drug Research Institute (LDRI), Université Catholique de Louvain, 1200 Brussels, Belgium</w:t>
      </w:r>
    </w:p>
    <w:p w14:paraId="0469C2D2" w14:textId="01FD72A5" w:rsidR="00963DA7" w:rsidRPr="00963DA7" w:rsidRDefault="00963DA7" w:rsidP="0015103A">
      <w:pPr>
        <w:jc w:val="both"/>
      </w:pPr>
      <w:r>
        <w:rPr>
          <w:vertAlign w:val="superscript"/>
        </w:rPr>
        <w:t>4</w:t>
      </w:r>
      <w:r>
        <w:t xml:space="preserve"> Unité de formation et de recherche en </w:t>
      </w:r>
      <w:r w:rsidR="00A61FFD">
        <w:t>P</w:t>
      </w:r>
      <w:r>
        <w:t>harmacie, Faculté des Sciences de la Santé, Université d’Abomey Calavi</w:t>
      </w:r>
      <w:r w:rsidR="00A61FFD">
        <w:t>, Cotonou, Bénin</w:t>
      </w:r>
    </w:p>
    <w:p w14:paraId="0AC73A0A" w14:textId="63CA841B" w:rsidR="00963DA7" w:rsidRDefault="00963DA7" w:rsidP="0015103A">
      <w:pPr>
        <w:jc w:val="both"/>
      </w:pPr>
      <w:r>
        <w:rPr>
          <w:vertAlign w:val="superscript"/>
        </w:rPr>
        <w:t>5</w:t>
      </w:r>
      <w:r>
        <w:t xml:space="preserve"> Centre de </w:t>
      </w:r>
      <w:r w:rsidR="00A61FFD">
        <w:t>R</w:t>
      </w:r>
      <w:r>
        <w:t>echerche et de Développement du Médicament (CRDM-Pharmalab), FSS, Université d’Abomey Calavi</w:t>
      </w:r>
    </w:p>
    <w:p w14:paraId="74200E16" w14:textId="1EB4B80E" w:rsidR="00963DA7" w:rsidRPr="0015103A" w:rsidRDefault="00963DA7" w:rsidP="0015103A">
      <w:pPr>
        <w:jc w:val="both"/>
      </w:pPr>
      <w:r w:rsidRPr="0015103A">
        <w:rPr>
          <w:vertAlign w:val="superscript"/>
        </w:rPr>
        <w:t>6</w:t>
      </w:r>
      <w:r w:rsidRPr="0015103A">
        <w:t xml:space="preserve"> </w:t>
      </w:r>
      <w:r w:rsidR="0015103A" w:rsidRPr="0015103A">
        <w:t xml:space="preserve">Institut Régional de Santé Publique - Comlan Alfred Quenum, Ouidah, Université </w:t>
      </w:r>
      <w:r w:rsidR="0015103A">
        <w:t>d’</w:t>
      </w:r>
      <w:r w:rsidR="0015103A" w:rsidRPr="0015103A">
        <w:t>Abomey-Calavi, Benin</w:t>
      </w:r>
    </w:p>
    <w:p w14:paraId="15007548" w14:textId="77777777" w:rsidR="00225419" w:rsidRPr="0015103A" w:rsidRDefault="00225419" w:rsidP="00B64035">
      <w:pPr>
        <w:jc w:val="both"/>
        <w:rPr>
          <w:b/>
          <w:bCs/>
        </w:rPr>
      </w:pPr>
    </w:p>
    <w:p w14:paraId="3B2CA402" w14:textId="4FDA6540" w:rsidR="00B64035" w:rsidRDefault="00A34CA7" w:rsidP="00F60EC3">
      <w:pPr>
        <w:jc w:val="both"/>
      </w:pPr>
      <w:r w:rsidRPr="00A34CA7">
        <w:rPr>
          <w:b/>
          <w:bCs/>
        </w:rPr>
        <w:t>Introduction :</w:t>
      </w:r>
      <w:r>
        <w:t xml:space="preserve"> </w:t>
      </w:r>
      <w:r w:rsidR="00920A84" w:rsidRPr="003A670A">
        <w:t>La</w:t>
      </w:r>
      <w:r w:rsidR="00920A84">
        <w:t xml:space="preserve"> </w:t>
      </w:r>
      <w:r w:rsidR="00BF2441">
        <w:t>L</w:t>
      </w:r>
      <w:r w:rsidR="00920A84" w:rsidRPr="003A670A">
        <w:t xml:space="preserve">ittératie en </w:t>
      </w:r>
      <w:r w:rsidR="00920A84">
        <w:t>S</w:t>
      </w:r>
      <w:r w:rsidR="00920A84" w:rsidRPr="003A670A">
        <w:t xml:space="preserve">anté </w:t>
      </w:r>
      <w:r w:rsidR="00920A84">
        <w:t>(LS) désigne</w:t>
      </w:r>
      <w:r w:rsidR="00920A84" w:rsidRPr="00EE2AFA">
        <w:t xml:space="preserve"> la capacité d'une personne à accéde</w:t>
      </w:r>
      <w:r w:rsidR="00920A84">
        <w:t>r, comprendre, évaluer et utiliser</w:t>
      </w:r>
      <w:r w:rsidR="00920A84" w:rsidRPr="00EE2AFA">
        <w:t xml:space="preserve"> </w:t>
      </w:r>
      <w:r w:rsidR="00920A84">
        <w:t>l</w:t>
      </w:r>
      <w:r w:rsidR="00920A84" w:rsidRPr="00EE2AFA">
        <w:t>es informations</w:t>
      </w:r>
      <w:r w:rsidR="00920A84">
        <w:t xml:space="preserve"> relatives à la</w:t>
      </w:r>
      <w:r w:rsidR="00920A84" w:rsidRPr="00EE2AFA">
        <w:t xml:space="preserve"> santé</w:t>
      </w:r>
      <w:r w:rsidR="00920A84">
        <w:t xml:space="preserve"> </w:t>
      </w:r>
      <w:r w:rsidR="00920A84" w:rsidRPr="00EE2AFA">
        <w:t>afin de prendre des décisions éclairées.</w:t>
      </w:r>
      <w:r w:rsidR="00920A84">
        <w:t xml:space="preserve"> </w:t>
      </w:r>
      <w:r w:rsidR="00F60EC3" w:rsidRPr="00F60EC3">
        <w:t xml:space="preserve">Plusieurs études suggèrent que les patients présentant une faible </w:t>
      </w:r>
      <w:r w:rsidR="00CD0969">
        <w:t xml:space="preserve">LS </w:t>
      </w:r>
      <w:r w:rsidR="00F60EC3" w:rsidRPr="00F60EC3">
        <w:t xml:space="preserve">sont plus exposés </w:t>
      </w:r>
      <w:r w:rsidR="001005E9">
        <w:t>a</w:t>
      </w:r>
      <w:r w:rsidR="00F60EC3" w:rsidRPr="00F60EC3">
        <w:t xml:space="preserve">u mésusage médicamenteux, </w:t>
      </w:r>
      <w:r w:rsidR="001005E9">
        <w:t>à</w:t>
      </w:r>
      <w:r w:rsidR="00F60EC3" w:rsidRPr="00F60EC3">
        <w:t xml:space="preserve"> la iatrogénie et </w:t>
      </w:r>
      <w:r w:rsidR="001005E9">
        <w:t>à</w:t>
      </w:r>
      <w:r w:rsidR="00262995">
        <w:t xml:space="preserve"> l’altération de l’</w:t>
      </w:r>
      <w:r w:rsidR="00F60EC3" w:rsidRPr="00F60EC3">
        <w:t>adhésion médicamenteuse.</w:t>
      </w:r>
    </w:p>
    <w:p w14:paraId="11E799DD" w14:textId="3BCDF289" w:rsidR="000B10F9" w:rsidRDefault="00B64035" w:rsidP="00B64035">
      <w:pPr>
        <w:jc w:val="both"/>
      </w:pPr>
      <w:r w:rsidRPr="00B64035">
        <w:rPr>
          <w:b/>
          <w:bCs/>
        </w:rPr>
        <w:t>Objectif :</w:t>
      </w:r>
      <w:r>
        <w:t xml:space="preserve"> </w:t>
      </w:r>
      <w:r w:rsidR="003A670A">
        <w:t>Cette étude a</w:t>
      </w:r>
      <w:r w:rsidR="00703D47">
        <w:t>vait</w:t>
      </w:r>
      <w:r w:rsidR="003A670A">
        <w:t xml:space="preserve"> pour objectif d</w:t>
      </w:r>
      <w:r w:rsidR="00F60EC3">
        <w:t>e décrire</w:t>
      </w:r>
      <w:r w:rsidR="00E61191">
        <w:t xml:space="preserve"> le </w:t>
      </w:r>
      <w:r w:rsidR="003A670A">
        <w:t xml:space="preserve">niveau de littératie en santé et </w:t>
      </w:r>
      <w:r w:rsidR="00E61191">
        <w:t>d</w:t>
      </w:r>
      <w:r w:rsidR="003A670A">
        <w:t>’adhésion médicamenteuse des patients</w:t>
      </w:r>
      <w:r w:rsidR="00CD0969">
        <w:t xml:space="preserve"> atteints de maladies non transmissibles</w:t>
      </w:r>
      <w:r w:rsidR="003A670A">
        <w:t xml:space="preserve"> </w:t>
      </w:r>
      <w:r w:rsidR="00BF2441">
        <w:t xml:space="preserve">consultant </w:t>
      </w:r>
      <w:r w:rsidR="003A670A">
        <w:t>au CNHU-HKM de Cotonou en 2025.</w:t>
      </w:r>
    </w:p>
    <w:p w14:paraId="625FCC5D" w14:textId="554DB791" w:rsidR="003A670A" w:rsidRDefault="00A34CA7" w:rsidP="00B64035">
      <w:pPr>
        <w:jc w:val="both"/>
      </w:pPr>
      <w:r w:rsidRPr="00A34CA7">
        <w:rPr>
          <w:b/>
          <w:bCs/>
        </w:rPr>
        <w:t>Méthodes :</w:t>
      </w:r>
      <w:r>
        <w:t xml:space="preserve"> </w:t>
      </w:r>
      <w:r w:rsidR="00807783">
        <w:t xml:space="preserve">Il s’agissait d’une étude </w:t>
      </w:r>
      <w:r w:rsidR="003A670A">
        <w:t xml:space="preserve">transversale </w:t>
      </w:r>
      <w:r w:rsidR="00807783">
        <w:t xml:space="preserve">qui </w:t>
      </w:r>
      <w:r w:rsidR="003A670A">
        <w:t>s’est déroulée en</w:t>
      </w:r>
      <w:r w:rsidR="00963DA7">
        <w:t>tre</w:t>
      </w:r>
      <w:r w:rsidR="003A670A">
        <w:t xml:space="preserve"> mai et juin 2025</w:t>
      </w:r>
      <w:r w:rsidR="00963DA7">
        <w:t xml:space="preserve">. </w:t>
      </w:r>
      <w:r w:rsidR="00BF2441">
        <w:t>Tous les patients ayant consulté</w:t>
      </w:r>
      <w:r w:rsidR="00CD0969">
        <w:t>,</w:t>
      </w:r>
      <w:r w:rsidR="00807783">
        <w:t xml:space="preserve"> </w:t>
      </w:r>
      <w:r w:rsidR="00BF2441">
        <w:t>durant</w:t>
      </w:r>
      <w:r w:rsidR="00807783">
        <w:t xml:space="preserve"> la période</w:t>
      </w:r>
      <w:r w:rsidR="00CD0969">
        <w:t>,</w:t>
      </w:r>
      <w:r w:rsidR="003A670A">
        <w:t xml:space="preserve"> les services de cardiologie, médecine interne, endocrinologie et néphrologie</w:t>
      </w:r>
      <w:r w:rsidR="003F628F">
        <w:t xml:space="preserve"> </w:t>
      </w:r>
      <w:r w:rsidR="00BF2441">
        <w:t>d</w:t>
      </w:r>
      <w:r w:rsidR="003F628F">
        <w:t>u CNHU-HKM</w:t>
      </w:r>
      <w:r w:rsidR="00807783">
        <w:t xml:space="preserve"> ont été inclus et interviewés</w:t>
      </w:r>
      <w:r w:rsidR="003F628F">
        <w:t>.</w:t>
      </w:r>
      <w:r w:rsidR="00EE2AFA">
        <w:t xml:space="preserve"> </w:t>
      </w:r>
      <w:r w:rsidR="00920A84">
        <w:t xml:space="preserve">La LS a été mesurée à l’aide de </w:t>
      </w:r>
      <w:r w:rsidR="00492BCF">
        <w:t xml:space="preserve">la version française de </w:t>
      </w:r>
      <w:r w:rsidR="00920A84">
        <w:t xml:space="preserve">l’échelle </w:t>
      </w:r>
      <w:r w:rsidR="00492BCF">
        <w:t xml:space="preserve">validée </w:t>
      </w:r>
      <w:r w:rsidR="00920A84">
        <w:t>du</w:t>
      </w:r>
      <w:r w:rsidR="00920A84" w:rsidRPr="00893246">
        <w:t xml:space="preserve"> </w:t>
      </w:r>
      <w:r w:rsidR="00920A84" w:rsidRPr="000959B7">
        <w:rPr>
          <w:i/>
          <w:iCs/>
        </w:rPr>
        <w:t>European Health Literacy Survey Questionnaire</w:t>
      </w:r>
      <w:r w:rsidR="00920A84">
        <w:t xml:space="preserve"> (HLSEU-Q16)</w:t>
      </w:r>
      <w:r w:rsidR="00807783">
        <w:t xml:space="preserve"> et l</w:t>
      </w:r>
      <w:r w:rsidR="00F341EB">
        <w:t xml:space="preserve">’adhésion médicamenteuse </w:t>
      </w:r>
      <w:r w:rsidR="00807783">
        <w:t>par le</w:t>
      </w:r>
      <w:r w:rsidR="00F341EB">
        <w:t xml:space="preserve"> questionnaire standardisé</w:t>
      </w:r>
      <w:r w:rsidR="005176B4">
        <w:t xml:space="preserve"> </w:t>
      </w:r>
      <w:r w:rsidR="00F341EB" w:rsidRPr="00920A84">
        <w:rPr>
          <w:i/>
          <w:iCs/>
        </w:rPr>
        <w:t>GIRE</w:t>
      </w:r>
      <w:r w:rsidR="004C57CF" w:rsidRPr="00920A84">
        <w:rPr>
          <w:i/>
          <w:iCs/>
        </w:rPr>
        <w:t>R</w:t>
      </w:r>
      <w:r w:rsidR="00F341EB" w:rsidRPr="00920A84">
        <w:rPr>
          <w:i/>
          <w:iCs/>
        </w:rPr>
        <w:t>D</w:t>
      </w:r>
      <w:r w:rsidR="00F341EB">
        <w:t>.</w:t>
      </w:r>
      <w:r w:rsidR="00ED61B2">
        <w:t xml:space="preserve"> </w:t>
      </w:r>
      <w:r w:rsidR="00151D81">
        <w:t xml:space="preserve">Les données ont été analysées à l’aide du coefficient de corrélation de Spearman </w:t>
      </w:r>
      <w:r w:rsidR="00920A84">
        <w:t>au seuil</w:t>
      </w:r>
      <w:r w:rsidR="00151D81">
        <w:t xml:space="preserve"> de significativité de 0,05.</w:t>
      </w:r>
    </w:p>
    <w:p w14:paraId="191B3F61" w14:textId="2E3FA95F" w:rsidR="004C57CF" w:rsidRDefault="00A34CA7" w:rsidP="00F60EC3">
      <w:pPr>
        <w:jc w:val="both"/>
      </w:pPr>
      <w:r w:rsidRPr="00A34CA7">
        <w:rPr>
          <w:b/>
          <w:bCs/>
        </w:rPr>
        <w:lastRenderedPageBreak/>
        <w:t>Résultats :</w:t>
      </w:r>
      <w:r>
        <w:t xml:space="preserve"> </w:t>
      </w:r>
      <w:r w:rsidR="00327070">
        <w:t>Au</w:t>
      </w:r>
      <w:r w:rsidR="00F60EC3">
        <w:t xml:space="preserve"> total</w:t>
      </w:r>
      <w:r w:rsidR="00327070">
        <w:t>,</w:t>
      </w:r>
      <w:r w:rsidR="004C57CF">
        <w:t xml:space="preserve"> 414 patients</w:t>
      </w:r>
      <w:r w:rsidR="00F60EC3">
        <w:t xml:space="preserve"> ont été inclus,</w:t>
      </w:r>
      <w:r w:rsidR="004C57CF">
        <w:t xml:space="preserve"> répartis </w:t>
      </w:r>
      <w:r w:rsidR="00920A84">
        <w:t xml:space="preserve">comme suit : </w:t>
      </w:r>
      <w:r w:rsidR="004C57CF">
        <w:t>cardiologie</w:t>
      </w:r>
      <w:r w:rsidR="005C29DD">
        <w:t xml:space="preserve"> </w:t>
      </w:r>
      <w:r w:rsidR="00F60EC3" w:rsidRPr="00F60EC3">
        <w:t>(27,4%), médecine interne (25,2%), endocrinologie (24,7%) et néphrologie (22,8</w:t>
      </w:r>
      <w:r w:rsidR="00920A84">
        <w:t xml:space="preserve">%). </w:t>
      </w:r>
      <w:r w:rsidR="00F60EC3" w:rsidRPr="00F60EC3">
        <w:rPr>
          <w:kern w:val="0"/>
          <w14:ligatures w14:val="none"/>
        </w:rPr>
        <w:t xml:space="preserve"> </w:t>
      </w:r>
      <w:r w:rsidR="00920A84">
        <w:t>L</w:t>
      </w:r>
      <w:r w:rsidR="00920A84" w:rsidRPr="00F60EC3">
        <w:t>es patients interrogés avaient</w:t>
      </w:r>
      <w:r w:rsidR="00920A84">
        <w:t xml:space="preserve"> r</w:t>
      </w:r>
      <w:r w:rsidR="00F60EC3" w:rsidRPr="00F60EC3">
        <w:t xml:space="preserve">espectivement une mauvaise </w:t>
      </w:r>
      <w:r w:rsidR="00920A84">
        <w:t>(</w:t>
      </w:r>
      <w:r w:rsidR="00920A84" w:rsidRPr="00F60EC3">
        <w:t>47,9%</w:t>
      </w:r>
      <w:r w:rsidR="00920A84">
        <w:t>)</w:t>
      </w:r>
      <w:r w:rsidR="00920A84" w:rsidRPr="00F60EC3">
        <w:t xml:space="preserve"> </w:t>
      </w:r>
      <w:r w:rsidR="00920A84">
        <w:t xml:space="preserve">ou </w:t>
      </w:r>
      <w:r w:rsidR="00F60EC3" w:rsidRPr="00F60EC3">
        <w:t>une faible</w:t>
      </w:r>
      <w:r w:rsidR="00920A84">
        <w:t xml:space="preserve"> adhésion médicamenteuse (</w:t>
      </w:r>
      <w:r w:rsidR="00920A84" w:rsidRPr="00F60EC3">
        <w:t>43,4%</w:t>
      </w:r>
      <w:r w:rsidR="00920A84">
        <w:t>)</w:t>
      </w:r>
      <w:r w:rsidR="00F60EC3" w:rsidRPr="00F60EC3">
        <w:t>.</w:t>
      </w:r>
      <w:r w:rsidR="005C29DD">
        <w:t xml:space="preserve"> </w:t>
      </w:r>
      <w:r w:rsidR="00807783">
        <w:t xml:space="preserve">Le score de LS était </w:t>
      </w:r>
      <w:r w:rsidR="00492BCF">
        <w:t xml:space="preserve">jugé </w:t>
      </w:r>
      <w:r w:rsidR="00807783">
        <w:t>comme inadéquat chez 12,7% des patients enquêtés, problématique chez 26,7% et suffisant chez 60,</w:t>
      </w:r>
      <w:r w:rsidR="004130E4">
        <w:t>4</w:t>
      </w:r>
      <w:r w:rsidR="00807783">
        <w:t>%</w:t>
      </w:r>
      <w:r w:rsidR="00CD0969">
        <w:t xml:space="preserve"> d’entre eux</w:t>
      </w:r>
      <w:r>
        <w:t>.</w:t>
      </w:r>
      <w:r w:rsidR="00997ACF">
        <w:t xml:space="preserve"> </w:t>
      </w:r>
      <w:r w:rsidR="00ED61B2">
        <w:t xml:space="preserve">Une </w:t>
      </w:r>
      <w:r w:rsidR="00920A84">
        <w:t xml:space="preserve">corrélation </w:t>
      </w:r>
      <w:r w:rsidR="00ED61B2">
        <w:t xml:space="preserve">faible </w:t>
      </w:r>
      <w:r w:rsidR="00920A84">
        <w:t>mais significative</w:t>
      </w:r>
      <w:r w:rsidR="00ED61B2">
        <w:t xml:space="preserve"> </w:t>
      </w:r>
      <w:r w:rsidR="00920A84">
        <w:t xml:space="preserve">a été observée </w:t>
      </w:r>
      <w:r w:rsidR="00ED61B2">
        <w:t xml:space="preserve">entre les </w:t>
      </w:r>
      <w:r w:rsidR="005176B4">
        <w:t>deux</w:t>
      </w:r>
      <w:r w:rsidR="00ED61B2">
        <w:t xml:space="preserve"> scores (r=-0,127</w:t>
      </w:r>
      <w:r w:rsidR="00E52CCB">
        <w:t> ;</w:t>
      </w:r>
      <w:r w:rsidR="00ED61B2">
        <w:t xml:space="preserve"> p= 0,021)</w:t>
      </w:r>
      <w:r w:rsidR="00151D81">
        <w:t>.</w:t>
      </w:r>
    </w:p>
    <w:p w14:paraId="741885F5" w14:textId="32E2EE19" w:rsidR="00A34CA7" w:rsidRDefault="00A34CA7" w:rsidP="00B64035">
      <w:pPr>
        <w:jc w:val="both"/>
      </w:pPr>
      <w:r w:rsidRPr="00A34CA7">
        <w:rPr>
          <w:b/>
          <w:bCs/>
        </w:rPr>
        <w:t>Conclusion :</w:t>
      </w:r>
      <w:r>
        <w:t xml:space="preserve"> </w:t>
      </w:r>
      <w:r w:rsidR="00151D81">
        <w:t xml:space="preserve">L’évaluation des compétences des patients à s’informer sur leur santé est importante pour </w:t>
      </w:r>
      <w:r w:rsidR="00920A84">
        <w:t>adapter</w:t>
      </w:r>
      <w:r w:rsidR="00151D81">
        <w:t xml:space="preserve"> </w:t>
      </w:r>
      <w:r w:rsidR="00920A84">
        <w:t>l</w:t>
      </w:r>
      <w:r w:rsidR="00151D81">
        <w:t>es soins pharmaceutique</w:t>
      </w:r>
      <w:r w:rsidR="00920A84">
        <w:t>s</w:t>
      </w:r>
      <w:r w:rsidR="004D46CE">
        <w:t xml:space="preserve">. La </w:t>
      </w:r>
      <w:r w:rsidR="004130E4">
        <w:t xml:space="preserve">mise </w:t>
      </w:r>
      <w:r w:rsidR="00BF2441">
        <w:t xml:space="preserve">en </w:t>
      </w:r>
      <w:r w:rsidR="00327070">
        <w:t xml:space="preserve">œuvre d’interventions en </w:t>
      </w:r>
      <w:r w:rsidR="004D46CE">
        <w:t>éducation thérapeutique</w:t>
      </w:r>
      <w:r w:rsidR="00F60EC3">
        <w:t xml:space="preserve"> </w:t>
      </w:r>
      <w:r w:rsidR="00327070">
        <w:t>chez</w:t>
      </w:r>
      <w:r w:rsidR="00F60EC3">
        <w:t xml:space="preserve"> les patients régulièrement suivis au CNHU-HKM</w:t>
      </w:r>
      <w:r w:rsidR="004D46CE">
        <w:t xml:space="preserve"> </w:t>
      </w:r>
      <w:r w:rsidR="00F60EC3">
        <w:t>pourrait améliorer</w:t>
      </w:r>
      <w:r w:rsidR="004D46CE">
        <w:t xml:space="preserve"> les stratégies d’information sur l</w:t>
      </w:r>
      <w:r w:rsidR="00F60EC3">
        <w:t>es</w:t>
      </w:r>
      <w:r w:rsidR="004D46CE">
        <w:t xml:space="preserve"> médicaments </w:t>
      </w:r>
      <w:r w:rsidR="00492BCF">
        <w:t xml:space="preserve">et </w:t>
      </w:r>
      <w:r w:rsidR="00F60EC3">
        <w:t xml:space="preserve">par </w:t>
      </w:r>
      <w:r w:rsidR="00920A84">
        <w:t>la suite</w:t>
      </w:r>
      <w:r w:rsidR="00F60EC3">
        <w:t xml:space="preserve"> l</w:t>
      </w:r>
      <w:r w:rsidR="00492BCF">
        <w:t>’</w:t>
      </w:r>
      <w:r w:rsidR="00920A84">
        <w:t xml:space="preserve">adhésion aux </w:t>
      </w:r>
      <w:r w:rsidR="00F60EC3">
        <w:t>traitements</w:t>
      </w:r>
      <w:r w:rsidR="00920A84">
        <w:t xml:space="preserve"> prescrits</w:t>
      </w:r>
      <w:r w:rsidR="00F60EC3">
        <w:t>.</w:t>
      </w:r>
    </w:p>
    <w:p w14:paraId="0DBCC3CD" w14:textId="358FE08A" w:rsidR="00225419" w:rsidRPr="00225419" w:rsidRDefault="00225419" w:rsidP="00B64035">
      <w:pPr>
        <w:jc w:val="both"/>
        <w:rPr>
          <w:b/>
          <w:bCs/>
        </w:rPr>
      </w:pPr>
    </w:p>
    <w:p w14:paraId="559ED131" w14:textId="4913C5AB" w:rsidR="00225419" w:rsidRPr="00A34CA7" w:rsidRDefault="00225419" w:rsidP="00B64035">
      <w:pPr>
        <w:jc w:val="both"/>
      </w:pPr>
      <w:r w:rsidRPr="00225419">
        <w:rPr>
          <w:b/>
          <w:bCs/>
        </w:rPr>
        <w:t>Mots clés :</w:t>
      </w:r>
      <w:r>
        <w:t xml:space="preserve"> Littératie en santé, Adhésion médicamenteuse,</w:t>
      </w:r>
      <w:r w:rsidR="00F60EC3">
        <w:t xml:space="preserve"> Maladies non transmissibles,</w:t>
      </w:r>
      <w:r>
        <w:t xml:space="preserve"> Bénin, Patients</w:t>
      </w:r>
    </w:p>
    <w:p w14:paraId="0D6FA00A" w14:textId="77777777" w:rsidR="005C29DD" w:rsidRDefault="005C29DD"/>
    <w:p w14:paraId="759ECC59" w14:textId="77777777" w:rsidR="001C4E9B" w:rsidRDefault="001C4E9B"/>
    <w:p w14:paraId="7D50E7AF" w14:textId="77777777" w:rsidR="00F341EB" w:rsidRDefault="00F341EB"/>
    <w:p w14:paraId="66E6B94A" w14:textId="77777777" w:rsidR="00F341EB" w:rsidRDefault="00F341EB"/>
    <w:p w14:paraId="3D1AD0B2" w14:textId="77777777" w:rsidR="00F341EB" w:rsidRDefault="00F341EB"/>
    <w:sectPr w:rsidR="00F3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A"/>
    <w:rsid w:val="00063A25"/>
    <w:rsid w:val="000B10F9"/>
    <w:rsid w:val="001005E9"/>
    <w:rsid w:val="0012564E"/>
    <w:rsid w:val="0015103A"/>
    <w:rsid w:val="00151D81"/>
    <w:rsid w:val="00153C07"/>
    <w:rsid w:val="001C4E9B"/>
    <w:rsid w:val="00225419"/>
    <w:rsid w:val="00262995"/>
    <w:rsid w:val="002C5B30"/>
    <w:rsid w:val="00327070"/>
    <w:rsid w:val="003A670A"/>
    <w:rsid w:val="003F628F"/>
    <w:rsid w:val="004130E4"/>
    <w:rsid w:val="004515A0"/>
    <w:rsid w:val="00492BCF"/>
    <w:rsid w:val="004C57CF"/>
    <w:rsid w:val="004D46CE"/>
    <w:rsid w:val="004E5020"/>
    <w:rsid w:val="005176B4"/>
    <w:rsid w:val="005C29DD"/>
    <w:rsid w:val="00703D47"/>
    <w:rsid w:val="00761604"/>
    <w:rsid w:val="00771993"/>
    <w:rsid w:val="007D0480"/>
    <w:rsid w:val="00807783"/>
    <w:rsid w:val="00893246"/>
    <w:rsid w:val="00920A84"/>
    <w:rsid w:val="00963DA7"/>
    <w:rsid w:val="00997ACF"/>
    <w:rsid w:val="00A34CA7"/>
    <w:rsid w:val="00A61FFD"/>
    <w:rsid w:val="00AD7BE8"/>
    <w:rsid w:val="00B40A0C"/>
    <w:rsid w:val="00B64035"/>
    <w:rsid w:val="00BF2441"/>
    <w:rsid w:val="00CD0969"/>
    <w:rsid w:val="00CE19A1"/>
    <w:rsid w:val="00D233E3"/>
    <w:rsid w:val="00E52CCB"/>
    <w:rsid w:val="00E61191"/>
    <w:rsid w:val="00EB5F86"/>
    <w:rsid w:val="00ED61B2"/>
    <w:rsid w:val="00EE2AFA"/>
    <w:rsid w:val="00F341EB"/>
    <w:rsid w:val="00F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599"/>
  <w15:chartTrackingRefBased/>
  <w15:docId w15:val="{F2ECE76F-F748-4652-81EB-3345D29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6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7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7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7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7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7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7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7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7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7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7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2025-06-30T15:08:00Z</dcterms:created>
  <dcterms:modified xsi:type="dcterms:W3CDTF">2025-06-30T17:10:00Z</dcterms:modified>
</cp:coreProperties>
</file>