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DF30" w14:textId="4D99CEE8" w:rsidR="00635576" w:rsidRPr="003332AC" w:rsidRDefault="007F606A" w:rsidP="00635576">
      <w:pPr>
        <w:spacing w:line="360" w:lineRule="auto"/>
        <w:jc w:val="both"/>
        <w:rPr>
          <w:rFonts w:ascii="Arial" w:hAnsi="Arial" w:cs="Arial"/>
          <w:b/>
          <w:bCs/>
        </w:rPr>
      </w:pPr>
      <w:r w:rsidRPr="003332AC">
        <w:rPr>
          <w:rFonts w:ascii="Arial" w:hAnsi="Arial" w:cs="Arial"/>
          <w:b/>
          <w:bCs/>
        </w:rPr>
        <w:t>Déterminants des</w:t>
      </w:r>
      <w:r w:rsidR="00635576" w:rsidRPr="003332AC">
        <w:rPr>
          <w:rFonts w:ascii="Arial" w:hAnsi="Arial" w:cs="Arial"/>
          <w:b/>
          <w:bCs/>
        </w:rPr>
        <w:t xml:space="preserve"> dépenses de santé catastrophiques en Côte d’Ivoire</w:t>
      </w:r>
    </w:p>
    <w:p w14:paraId="022FC549" w14:textId="77777777" w:rsidR="00D9466F" w:rsidRPr="003332AC" w:rsidRDefault="00D9466F" w:rsidP="00D9466F">
      <w:pPr>
        <w:spacing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332AC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KOFFI Kouamé </w:t>
      </w:r>
      <w:r w:rsidRPr="003332AC">
        <w:rPr>
          <w:rFonts w:ascii="Arial" w:eastAsia="Calibri" w:hAnsi="Arial" w:cs="Arial"/>
          <w:b/>
          <w:bCs/>
          <w:kern w:val="0"/>
          <w:u w:val="single"/>
          <w:vertAlign w:val="superscript"/>
          <w14:ligatures w14:val="none"/>
        </w:rPr>
        <w:t>1</w:t>
      </w:r>
      <w:r w:rsidRPr="003332AC">
        <w:rPr>
          <w:rFonts w:ascii="Arial" w:eastAsia="Calibri" w:hAnsi="Arial" w:cs="Arial"/>
          <w:kern w:val="0"/>
          <w14:ligatures w14:val="none"/>
        </w:rPr>
        <w:t>, ATTIA-KONAN Attia R</w:t>
      </w:r>
      <w:r w:rsidRPr="003332AC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3332AC">
        <w:rPr>
          <w:rFonts w:ascii="Arial" w:eastAsia="Calibri" w:hAnsi="Arial" w:cs="Arial"/>
          <w:kern w:val="0"/>
          <w14:ligatures w14:val="none"/>
        </w:rPr>
        <w:t xml:space="preserve">, KOUAME Jérôme </w:t>
      </w:r>
      <w:r w:rsidRPr="003332AC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3332AC">
        <w:rPr>
          <w:rFonts w:ascii="Arial" w:eastAsia="Calibri" w:hAnsi="Arial" w:cs="Arial"/>
          <w:kern w:val="0"/>
          <w14:ligatures w14:val="none"/>
        </w:rPr>
        <w:t>, SANGARE Abou D</w:t>
      </w:r>
      <w:r w:rsidRPr="003332AC">
        <w:rPr>
          <w:rFonts w:ascii="Arial" w:eastAsia="Calibri" w:hAnsi="Arial" w:cs="Arial"/>
          <w:kern w:val="0"/>
          <w:vertAlign w:val="superscript"/>
          <w14:ligatures w14:val="none"/>
        </w:rPr>
        <w:t>2</w:t>
      </w:r>
      <w:r w:rsidRPr="003332AC">
        <w:rPr>
          <w:rFonts w:ascii="Arial" w:eastAsia="Calibri" w:hAnsi="Arial" w:cs="Arial"/>
          <w:kern w:val="0"/>
          <w14:ligatures w14:val="none"/>
        </w:rPr>
        <w:t xml:space="preserve">, TIADE Marie L </w:t>
      </w:r>
      <w:r w:rsidRPr="003332AC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3332AC">
        <w:rPr>
          <w:rFonts w:ascii="Arial" w:eastAsia="Calibri" w:hAnsi="Arial" w:cs="Arial"/>
          <w:kern w:val="0"/>
          <w14:ligatures w14:val="none"/>
        </w:rPr>
        <w:t>, OGA Stéphane S</w:t>
      </w:r>
      <w:r w:rsidRPr="003332AC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3332AC">
        <w:rPr>
          <w:rFonts w:ascii="Arial" w:eastAsia="Calibri" w:hAnsi="Arial" w:cs="Arial"/>
          <w:kern w:val="0"/>
          <w14:ligatures w14:val="none"/>
        </w:rPr>
        <w:t>, KOUADIO Luc</w:t>
      </w:r>
      <w:r w:rsidRPr="003332AC">
        <w:rPr>
          <w:rFonts w:ascii="Arial" w:eastAsia="Calibri" w:hAnsi="Arial" w:cs="Arial"/>
          <w:kern w:val="0"/>
          <w:vertAlign w:val="superscript"/>
          <w14:ligatures w14:val="none"/>
        </w:rPr>
        <w:t>1</w:t>
      </w:r>
    </w:p>
    <w:p w14:paraId="7DB03B10" w14:textId="77777777" w:rsidR="00D9466F" w:rsidRPr="003332AC" w:rsidRDefault="00D9466F" w:rsidP="00D9466F">
      <w:pPr>
        <w:spacing w:line="276" w:lineRule="auto"/>
        <w:contextualSpacing/>
        <w:jc w:val="both"/>
        <w:rPr>
          <w:rFonts w:ascii="Arial" w:eastAsia="Calibri" w:hAnsi="Arial" w:cs="Arial"/>
          <w:kern w:val="0"/>
          <w:lang w:val="fr-FR"/>
          <w14:ligatures w14:val="none"/>
        </w:rPr>
      </w:pPr>
      <w:r w:rsidRPr="003332AC">
        <w:rPr>
          <w:rFonts w:ascii="Arial" w:eastAsia="Calibri" w:hAnsi="Arial" w:cs="Arial"/>
          <w:kern w:val="0"/>
          <w:lang w:val="fr-FR"/>
          <w14:ligatures w14:val="none"/>
        </w:rPr>
        <w:t xml:space="preserve">1-Université Félix Houphouët-Boigny, UFR Sciences Pharmaceutique et Biologique, Département des Sciences Analytiques et Santé Publique, Côte d’Ivoire </w:t>
      </w:r>
    </w:p>
    <w:p w14:paraId="6CD6C1D5" w14:textId="77777777" w:rsidR="00D9466F" w:rsidRPr="003332AC" w:rsidRDefault="00D9466F" w:rsidP="00D9466F">
      <w:pPr>
        <w:spacing w:line="276" w:lineRule="auto"/>
        <w:contextualSpacing/>
        <w:jc w:val="both"/>
        <w:rPr>
          <w:rFonts w:ascii="Arial" w:eastAsia="Calibri" w:hAnsi="Arial" w:cs="Arial"/>
          <w:kern w:val="0"/>
          <w:lang w:val="fr-FR"/>
          <w14:ligatures w14:val="none"/>
        </w:rPr>
      </w:pPr>
      <w:r w:rsidRPr="003332AC">
        <w:rPr>
          <w:rFonts w:ascii="Arial" w:eastAsia="Calibri" w:hAnsi="Arial" w:cs="Arial"/>
          <w:kern w:val="0"/>
          <w:lang w:val="fr-FR"/>
          <w14:ligatures w14:val="none"/>
        </w:rPr>
        <w:t>2-Université Félix Houphouët-Boigny, UFR Odontostomatologie, Département de Santé Publique, Côte d’Ivoire</w:t>
      </w:r>
    </w:p>
    <w:p w14:paraId="05D7043D" w14:textId="77777777" w:rsidR="00D9466F" w:rsidRPr="003332AC" w:rsidRDefault="00D9466F" w:rsidP="00D9466F">
      <w:pPr>
        <w:spacing w:line="276" w:lineRule="auto"/>
        <w:contextualSpacing/>
        <w:jc w:val="both"/>
        <w:rPr>
          <w:rFonts w:ascii="Arial" w:eastAsia="Calibri" w:hAnsi="Arial" w:cs="Arial"/>
          <w:b/>
          <w:kern w:val="0"/>
          <w:lang w:val="fr-FR"/>
          <w14:ligatures w14:val="none"/>
        </w:rPr>
      </w:pPr>
      <w:r w:rsidRPr="003332AC">
        <w:rPr>
          <w:rFonts w:ascii="Arial" w:eastAsia="Calibri" w:hAnsi="Arial" w:cs="Arial"/>
          <w:b/>
          <w:kern w:val="0"/>
          <w:lang w:val="fr-FR"/>
          <w14:ligatures w14:val="none"/>
        </w:rPr>
        <w:t>Correspondance</w:t>
      </w:r>
    </w:p>
    <w:p w14:paraId="24CA5561" w14:textId="77777777" w:rsidR="00D9466F" w:rsidRPr="003332AC" w:rsidRDefault="00D9466F" w:rsidP="00D9466F">
      <w:pPr>
        <w:spacing w:line="276" w:lineRule="auto"/>
        <w:contextualSpacing/>
        <w:jc w:val="both"/>
        <w:rPr>
          <w:rFonts w:ascii="Arial" w:eastAsia="Calibri" w:hAnsi="Arial" w:cs="Arial"/>
          <w:kern w:val="0"/>
          <w:lang w:val="fr-FR"/>
          <w14:ligatures w14:val="none"/>
        </w:rPr>
      </w:pPr>
      <w:r w:rsidRPr="003332AC">
        <w:rPr>
          <w:rFonts w:ascii="Arial" w:eastAsia="Calibri" w:hAnsi="Arial" w:cs="Arial"/>
          <w:kern w:val="0"/>
          <w:lang w:val="fr-FR"/>
          <w14:ligatures w14:val="none"/>
        </w:rPr>
        <w:t>KOFFI K</w:t>
      </w:r>
    </w:p>
    <w:p w14:paraId="013A2D14" w14:textId="77777777" w:rsidR="00D9466F" w:rsidRPr="003332AC" w:rsidRDefault="00D9466F" w:rsidP="00D9466F">
      <w:pPr>
        <w:spacing w:line="276" w:lineRule="auto"/>
        <w:contextualSpacing/>
        <w:jc w:val="both"/>
        <w:rPr>
          <w:rFonts w:ascii="Arial" w:eastAsia="Calibri" w:hAnsi="Arial" w:cs="Arial"/>
          <w:kern w:val="0"/>
          <w:lang w:val="fr-FR"/>
          <w14:ligatures w14:val="none"/>
        </w:rPr>
      </w:pPr>
      <w:r w:rsidRPr="003332AC">
        <w:rPr>
          <w:rFonts w:ascii="Arial" w:eastAsia="Calibri" w:hAnsi="Arial" w:cs="Arial"/>
          <w:kern w:val="0"/>
          <w:lang w:val="fr-FR"/>
          <w14:ligatures w14:val="none"/>
        </w:rPr>
        <w:t xml:space="preserve">E-mail : </w:t>
      </w:r>
      <w:hyperlink r:id="rId4" w:history="1">
        <w:r w:rsidRPr="003332AC">
          <w:rPr>
            <w:rFonts w:ascii="Arial" w:eastAsia="Calibri" w:hAnsi="Arial" w:cs="Arial"/>
            <w:kern w:val="0"/>
            <w:u w:val="single"/>
            <w:lang w:val="fr-FR"/>
            <w14:ligatures w14:val="none"/>
          </w:rPr>
          <w:t>koffiso@gmail.com</w:t>
        </w:r>
      </w:hyperlink>
      <w:r w:rsidRPr="003332AC">
        <w:rPr>
          <w:rFonts w:ascii="Arial" w:eastAsia="Calibri" w:hAnsi="Arial" w:cs="Arial"/>
          <w:kern w:val="0"/>
          <w:lang w:val="fr-FR"/>
          <w14:ligatures w14:val="none"/>
        </w:rPr>
        <w:t xml:space="preserve"> </w:t>
      </w:r>
    </w:p>
    <w:p w14:paraId="3E4D5F37" w14:textId="1CF46970" w:rsidR="00D9466F" w:rsidRPr="00D9466F" w:rsidRDefault="00D9466F" w:rsidP="00AC1E6B">
      <w:pPr>
        <w:spacing w:line="360" w:lineRule="auto"/>
        <w:contextualSpacing/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RESUMÉ</w:t>
      </w:r>
    </w:p>
    <w:p w14:paraId="17F959AB" w14:textId="5306934A" w:rsidR="00AC1E6B" w:rsidRPr="00AC1E6B" w:rsidRDefault="00635576" w:rsidP="00AC1E6B">
      <w:pPr>
        <w:spacing w:line="360" w:lineRule="auto"/>
        <w:contextualSpacing/>
        <w:jc w:val="both"/>
        <w:rPr>
          <w:rFonts w:ascii="Arial" w:hAnsi="Arial" w:cs="Arial"/>
        </w:rPr>
      </w:pPr>
      <w:r w:rsidRPr="00635576">
        <w:rPr>
          <w:rFonts w:ascii="Arial" w:hAnsi="Arial" w:cs="Arial"/>
          <w:b/>
          <w:bCs/>
        </w:rPr>
        <w:t>Introduction</w:t>
      </w:r>
      <w:r w:rsidR="00B0242E">
        <w:rPr>
          <w:rFonts w:ascii="Arial" w:hAnsi="Arial" w:cs="Arial"/>
          <w:b/>
          <w:bCs/>
        </w:rPr>
        <w:t xml:space="preserve"> : </w:t>
      </w:r>
      <w:r w:rsidR="00AC1E6B" w:rsidRPr="00AC1E6B">
        <w:rPr>
          <w:rFonts w:ascii="Arial" w:hAnsi="Arial" w:cs="Arial"/>
        </w:rPr>
        <w:t>Bien que l’accès à des soins de santé de qualité soit reconnu comme un droit humain fondamental, les dépenses de santé catastrophiques</w:t>
      </w:r>
      <w:r w:rsidR="00D9466F">
        <w:rPr>
          <w:rFonts w:ascii="Arial" w:hAnsi="Arial" w:cs="Arial"/>
        </w:rPr>
        <w:t xml:space="preserve"> (DSC) </w:t>
      </w:r>
      <w:r w:rsidR="00AC1E6B" w:rsidRPr="00AC1E6B">
        <w:rPr>
          <w:rFonts w:ascii="Arial" w:hAnsi="Arial" w:cs="Arial"/>
        </w:rPr>
        <w:t>restent</w:t>
      </w:r>
      <w:r w:rsidR="00AC1E6B" w:rsidRPr="00AC1E6B">
        <w:rPr>
          <w:rFonts w:ascii="Arial" w:hAnsi="Arial" w:cs="Arial"/>
        </w:rPr>
        <w:t xml:space="preserve"> une réalité préoccupante dans de nombreux pays en développement, notamment en Côte d’Ivoire.</w:t>
      </w:r>
    </w:p>
    <w:p w14:paraId="338F3A97" w14:textId="53F1B004" w:rsidR="00635576" w:rsidRPr="00B0242E" w:rsidRDefault="008D24D0" w:rsidP="00635576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L’objectif </w:t>
      </w:r>
      <w:r w:rsidR="00B0242E">
        <w:rPr>
          <w:rFonts w:ascii="Arial" w:hAnsi="Arial" w:cs="Arial"/>
        </w:rPr>
        <w:t xml:space="preserve">de cette étude </w:t>
      </w:r>
      <w:r>
        <w:rPr>
          <w:rFonts w:ascii="Arial" w:hAnsi="Arial" w:cs="Arial"/>
        </w:rPr>
        <w:t>était</w:t>
      </w:r>
      <w:r w:rsidR="00635576" w:rsidRPr="00635576">
        <w:rPr>
          <w:rFonts w:ascii="Arial" w:hAnsi="Arial" w:cs="Arial"/>
        </w:rPr>
        <w:t xml:space="preserve"> d’identifier </w:t>
      </w:r>
      <w:r w:rsidR="007F606A">
        <w:rPr>
          <w:rFonts w:ascii="Arial" w:hAnsi="Arial" w:cs="Arial"/>
        </w:rPr>
        <w:t>les f</w:t>
      </w:r>
      <w:r w:rsidR="007F606A" w:rsidRPr="007F606A">
        <w:rPr>
          <w:rFonts w:ascii="Arial" w:hAnsi="Arial" w:cs="Arial"/>
        </w:rPr>
        <w:t>acteurs associés aux dépenses de santé catastrophiques</w:t>
      </w:r>
      <w:r w:rsidR="007F606A">
        <w:rPr>
          <w:rFonts w:ascii="Arial" w:hAnsi="Arial" w:cs="Arial"/>
        </w:rPr>
        <w:t>.</w:t>
      </w:r>
      <w:r w:rsidR="007F606A" w:rsidRPr="007F606A">
        <w:rPr>
          <w:rFonts w:ascii="Arial" w:hAnsi="Arial" w:cs="Arial"/>
        </w:rPr>
        <w:t xml:space="preserve"> </w:t>
      </w:r>
    </w:p>
    <w:p w14:paraId="31FCB14A" w14:textId="0B42924B" w:rsidR="00635576" w:rsidRPr="00FD10F3" w:rsidRDefault="00635576" w:rsidP="00635576">
      <w:pPr>
        <w:spacing w:line="360" w:lineRule="auto"/>
        <w:contextualSpacing/>
        <w:jc w:val="both"/>
        <w:rPr>
          <w:rFonts w:ascii="Arial" w:hAnsi="Arial" w:cs="Arial"/>
        </w:rPr>
      </w:pPr>
      <w:r w:rsidRPr="00635576">
        <w:rPr>
          <w:rFonts w:ascii="Arial" w:hAnsi="Arial" w:cs="Arial"/>
          <w:b/>
          <w:bCs/>
        </w:rPr>
        <w:t>Méthodes</w:t>
      </w:r>
      <w:r w:rsidR="00FD10F3">
        <w:rPr>
          <w:rFonts w:ascii="Arial" w:hAnsi="Arial" w:cs="Arial"/>
          <w:b/>
          <w:bCs/>
        </w:rPr>
        <w:t xml:space="preserve"> : </w:t>
      </w:r>
      <w:r w:rsidR="00FD10F3" w:rsidRPr="00FD10F3">
        <w:rPr>
          <w:rFonts w:ascii="Arial" w:hAnsi="Arial" w:cs="Arial"/>
        </w:rPr>
        <w:t>Il s’agit d’une analyse secondaire des données de l’</w:t>
      </w:r>
      <w:r w:rsidR="003617E0" w:rsidRPr="00FD10F3">
        <w:rPr>
          <w:rFonts w:ascii="Arial" w:hAnsi="Arial" w:cs="Arial"/>
        </w:rPr>
        <w:t>E</w:t>
      </w:r>
      <w:r w:rsidR="003617E0">
        <w:rPr>
          <w:rFonts w:ascii="Arial" w:hAnsi="Arial" w:cs="Arial"/>
        </w:rPr>
        <w:t xml:space="preserve">nquête </w:t>
      </w:r>
      <w:r w:rsidR="00FD10F3" w:rsidRPr="00FD10F3">
        <w:rPr>
          <w:rFonts w:ascii="Arial" w:hAnsi="Arial" w:cs="Arial"/>
        </w:rPr>
        <w:t>H</w:t>
      </w:r>
      <w:r w:rsidR="003617E0">
        <w:rPr>
          <w:rFonts w:ascii="Arial" w:hAnsi="Arial" w:cs="Arial"/>
        </w:rPr>
        <w:t xml:space="preserve">armonisée sur les </w:t>
      </w:r>
      <w:r w:rsidR="00FD10F3" w:rsidRPr="00FD10F3">
        <w:rPr>
          <w:rFonts w:ascii="Arial" w:hAnsi="Arial" w:cs="Arial"/>
        </w:rPr>
        <w:t>C</w:t>
      </w:r>
      <w:r w:rsidR="003617E0">
        <w:rPr>
          <w:rFonts w:ascii="Arial" w:hAnsi="Arial" w:cs="Arial"/>
        </w:rPr>
        <w:t xml:space="preserve">onditions de </w:t>
      </w:r>
      <w:r w:rsidR="00FD10F3" w:rsidRPr="00FD10F3">
        <w:rPr>
          <w:rFonts w:ascii="Arial" w:hAnsi="Arial" w:cs="Arial"/>
        </w:rPr>
        <w:t>V</w:t>
      </w:r>
      <w:r w:rsidR="003617E0">
        <w:rPr>
          <w:rFonts w:ascii="Arial" w:hAnsi="Arial" w:cs="Arial"/>
        </w:rPr>
        <w:t xml:space="preserve">ie des </w:t>
      </w:r>
      <w:r w:rsidR="00FD10F3" w:rsidRPr="00FD10F3">
        <w:rPr>
          <w:rFonts w:ascii="Arial" w:hAnsi="Arial" w:cs="Arial"/>
        </w:rPr>
        <w:t>M</w:t>
      </w:r>
      <w:r w:rsidR="003617E0">
        <w:rPr>
          <w:rFonts w:ascii="Arial" w:hAnsi="Arial" w:cs="Arial"/>
        </w:rPr>
        <w:t>énages</w:t>
      </w:r>
      <w:r w:rsidR="00FD10F3" w:rsidRPr="00FD10F3">
        <w:rPr>
          <w:rFonts w:ascii="Arial" w:hAnsi="Arial" w:cs="Arial"/>
        </w:rPr>
        <w:t xml:space="preserve"> 2021. L'analyse a inclus 12 965 ménages</w:t>
      </w:r>
      <w:r w:rsidR="00FD10F3">
        <w:rPr>
          <w:rFonts w:ascii="Arial" w:hAnsi="Arial" w:cs="Arial"/>
        </w:rPr>
        <w:t xml:space="preserve">. </w:t>
      </w:r>
      <w:r w:rsidR="00FD10F3" w:rsidRPr="00635576">
        <w:rPr>
          <w:rFonts w:ascii="Arial" w:hAnsi="Arial" w:cs="Arial"/>
        </w:rPr>
        <w:t>Une régression logistique a été utilisée pour identifier les déterminants.</w:t>
      </w:r>
      <w:r w:rsidR="00FD10F3">
        <w:rPr>
          <w:rFonts w:ascii="Arial" w:hAnsi="Arial" w:cs="Arial"/>
        </w:rPr>
        <w:t xml:space="preserve"> </w:t>
      </w:r>
      <w:r w:rsidRPr="00635576">
        <w:rPr>
          <w:rFonts w:ascii="Arial" w:hAnsi="Arial" w:cs="Arial"/>
        </w:rPr>
        <w:t xml:space="preserve">Une dépense est considérée comme catastrophique lorsque les paiements directs de santé atteignent au moins 40 % de la capacité à payer du ménage. </w:t>
      </w:r>
    </w:p>
    <w:p w14:paraId="252ECF5A" w14:textId="79688CF2" w:rsidR="00CC420D" w:rsidRPr="002E7A61" w:rsidRDefault="00635576" w:rsidP="00635576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635576">
        <w:rPr>
          <w:rFonts w:ascii="Arial" w:hAnsi="Arial" w:cs="Arial"/>
          <w:b/>
          <w:bCs/>
        </w:rPr>
        <w:t>Résultats</w:t>
      </w:r>
      <w:r w:rsidR="002E7A61">
        <w:rPr>
          <w:rFonts w:ascii="Arial" w:hAnsi="Arial" w:cs="Arial"/>
          <w:b/>
          <w:bCs/>
        </w:rPr>
        <w:t xml:space="preserve"> : </w:t>
      </w:r>
      <w:r w:rsidRPr="002E7A61">
        <w:rPr>
          <w:rFonts w:ascii="Arial" w:hAnsi="Arial" w:cs="Arial"/>
        </w:rPr>
        <w:t xml:space="preserve">Les ménages de taille </w:t>
      </w:r>
      <w:r w:rsidR="00FD10F3" w:rsidRPr="002E7A61">
        <w:rPr>
          <w:rFonts w:ascii="Arial" w:hAnsi="Arial" w:cs="Arial"/>
        </w:rPr>
        <w:t xml:space="preserve">importante </w:t>
      </w:r>
      <w:r w:rsidRPr="002E7A61">
        <w:rPr>
          <w:rFonts w:ascii="Arial" w:hAnsi="Arial" w:cs="Arial"/>
        </w:rPr>
        <w:t xml:space="preserve">sont significativement moins exposés aux DSC, notamment ceux de 6 à 7 membres (OR = 0,07 ; p = 0,004) et de plus de 7 membres (OR = 0,03 ; p = 0,001). À </w:t>
      </w:r>
      <w:r w:rsidR="00BC4F91" w:rsidRPr="002E7A61">
        <w:rPr>
          <w:rFonts w:ascii="Arial" w:hAnsi="Arial" w:cs="Arial"/>
        </w:rPr>
        <w:t>contrario</w:t>
      </w:r>
      <w:r w:rsidRPr="002E7A61">
        <w:rPr>
          <w:rFonts w:ascii="Arial" w:hAnsi="Arial" w:cs="Arial"/>
        </w:rPr>
        <w:t xml:space="preserve">, les chefs de ménage mariés sont plus exposés que les célibataires (OR = 5,27 ; p = 0,01). Les ménages les plus riches (Q5) </w:t>
      </w:r>
      <w:r w:rsidR="002E7A61" w:rsidRPr="002E7A61">
        <w:rPr>
          <w:rFonts w:ascii="Arial" w:hAnsi="Arial" w:cs="Arial"/>
        </w:rPr>
        <w:t>ont</w:t>
      </w:r>
      <w:r w:rsidRPr="002E7A61">
        <w:rPr>
          <w:rFonts w:ascii="Arial" w:hAnsi="Arial" w:cs="Arial"/>
        </w:rPr>
        <w:t xml:space="preserve"> un risque réduit (OR = 0,26 ; p = 0,063).</w:t>
      </w:r>
      <w:r w:rsidR="002E7A61" w:rsidRPr="002E7A61">
        <w:rPr>
          <w:rFonts w:ascii="Arial" w:hAnsi="Arial" w:cs="Arial"/>
        </w:rPr>
        <w:t xml:space="preserve"> </w:t>
      </w:r>
      <w:r w:rsidR="002E7A61" w:rsidRPr="002E7A61">
        <w:rPr>
          <w:rFonts w:ascii="Arial" w:hAnsi="Arial" w:cs="Arial"/>
        </w:rPr>
        <w:t xml:space="preserve">En zone rurale, le risque est significativement plus élevé qu’en zone urbaine hors Abidjan (OR = 4,72 ; p = 0,039). En revanche, aucune association significative n’est observée pour le </w:t>
      </w:r>
      <w:r w:rsidR="003332AC" w:rsidRPr="002E7A61">
        <w:rPr>
          <w:rFonts w:ascii="Arial" w:hAnsi="Arial" w:cs="Arial"/>
        </w:rPr>
        <w:t>sexe (</w:t>
      </w:r>
      <w:r w:rsidR="002E7A61" w:rsidRPr="002E7A61">
        <w:rPr>
          <w:rFonts w:ascii="Arial" w:hAnsi="Arial" w:cs="Arial"/>
        </w:rPr>
        <w:t>p = 0,851) ni pour la résidence à Abidjan.</w:t>
      </w:r>
    </w:p>
    <w:p w14:paraId="05E1B218" w14:textId="0DB73622" w:rsidR="00D9466F" w:rsidRPr="003332AC" w:rsidRDefault="00635576" w:rsidP="00CC420D">
      <w:pPr>
        <w:spacing w:line="360" w:lineRule="auto"/>
        <w:contextualSpacing/>
        <w:jc w:val="both"/>
        <w:rPr>
          <w:rFonts w:ascii="Arial" w:hAnsi="Arial" w:cs="Arial"/>
        </w:rPr>
      </w:pPr>
      <w:r w:rsidRPr="00635576">
        <w:rPr>
          <w:rFonts w:ascii="Arial" w:hAnsi="Arial" w:cs="Arial"/>
          <w:b/>
          <w:bCs/>
        </w:rPr>
        <w:t>Conclusion</w:t>
      </w:r>
      <w:r w:rsidR="002E7A61">
        <w:rPr>
          <w:rFonts w:ascii="Arial" w:hAnsi="Arial" w:cs="Arial"/>
          <w:b/>
          <w:bCs/>
        </w:rPr>
        <w:t xml:space="preserve"> : </w:t>
      </w:r>
      <w:r w:rsidR="00CC420D" w:rsidRPr="00CC420D">
        <w:rPr>
          <w:rFonts w:ascii="Arial" w:hAnsi="Arial" w:cs="Arial"/>
        </w:rPr>
        <w:t>La survenue des dépenses de santé catastrophiques est influencée par la taille du ménage, le statut matrimonial, la zone de résidence</w:t>
      </w:r>
      <w:r w:rsidR="003617E0">
        <w:rPr>
          <w:rFonts w:ascii="Arial" w:hAnsi="Arial" w:cs="Arial"/>
        </w:rPr>
        <w:t xml:space="preserve"> (rurale)</w:t>
      </w:r>
      <w:r w:rsidR="00CC420D" w:rsidRPr="00CC420D">
        <w:rPr>
          <w:rFonts w:ascii="Arial" w:hAnsi="Arial" w:cs="Arial"/>
        </w:rPr>
        <w:t xml:space="preserve"> </w:t>
      </w:r>
      <w:r w:rsidR="00CC420D">
        <w:rPr>
          <w:rFonts w:ascii="Arial" w:hAnsi="Arial" w:cs="Arial"/>
        </w:rPr>
        <w:t xml:space="preserve">et </w:t>
      </w:r>
      <w:r w:rsidR="00CC420D" w:rsidRPr="00CC420D">
        <w:rPr>
          <w:rFonts w:ascii="Arial" w:hAnsi="Arial" w:cs="Arial"/>
        </w:rPr>
        <w:t xml:space="preserve">le niveau de vie. </w:t>
      </w:r>
      <w:r w:rsidR="00CC420D">
        <w:rPr>
          <w:rFonts w:ascii="Arial" w:hAnsi="Arial" w:cs="Arial"/>
        </w:rPr>
        <w:t>L</w:t>
      </w:r>
      <w:r w:rsidR="00CC420D" w:rsidRPr="00CC420D">
        <w:rPr>
          <w:rFonts w:ascii="Arial" w:hAnsi="Arial" w:cs="Arial"/>
        </w:rPr>
        <w:t>a prise en compte des déterminants sociaux de la santé</w:t>
      </w:r>
      <w:r w:rsidR="00CC420D">
        <w:rPr>
          <w:rFonts w:ascii="Arial" w:hAnsi="Arial" w:cs="Arial"/>
        </w:rPr>
        <w:t xml:space="preserve"> et l</w:t>
      </w:r>
      <w:r w:rsidR="00CC420D" w:rsidRPr="00CC420D">
        <w:rPr>
          <w:rFonts w:ascii="Arial" w:hAnsi="Arial" w:cs="Arial"/>
        </w:rPr>
        <w:t>’</w:t>
      </w:r>
      <w:r w:rsidR="00CC420D">
        <w:rPr>
          <w:rFonts w:ascii="Arial" w:hAnsi="Arial" w:cs="Arial"/>
        </w:rPr>
        <w:t>extension</w:t>
      </w:r>
      <w:r w:rsidR="00CC420D" w:rsidRPr="00CC420D">
        <w:rPr>
          <w:rFonts w:ascii="Arial" w:hAnsi="Arial" w:cs="Arial"/>
        </w:rPr>
        <w:t xml:space="preserve"> de la couverture de la CMU sont essentiels pour </w:t>
      </w:r>
      <w:r w:rsidR="00BC4F91">
        <w:rPr>
          <w:rFonts w:ascii="Arial" w:hAnsi="Arial" w:cs="Arial"/>
        </w:rPr>
        <w:t>amoindrir</w:t>
      </w:r>
      <w:r w:rsidR="00CC420D" w:rsidRPr="00CC420D">
        <w:rPr>
          <w:rFonts w:ascii="Arial" w:hAnsi="Arial" w:cs="Arial"/>
        </w:rPr>
        <w:t xml:space="preserve"> </w:t>
      </w:r>
      <w:r w:rsidR="00BC4F91">
        <w:rPr>
          <w:rFonts w:ascii="Arial" w:hAnsi="Arial" w:cs="Arial"/>
        </w:rPr>
        <w:t>les</w:t>
      </w:r>
      <w:r w:rsidR="00CC420D" w:rsidRPr="00CC420D">
        <w:rPr>
          <w:rFonts w:ascii="Arial" w:hAnsi="Arial" w:cs="Arial"/>
        </w:rPr>
        <w:t xml:space="preserve"> risques financiers liés à la maladie.</w:t>
      </w:r>
    </w:p>
    <w:p w14:paraId="65ED0227" w14:textId="77777777" w:rsidR="003332AC" w:rsidRDefault="003332AC" w:rsidP="00CC420D">
      <w:pPr>
        <w:spacing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p w14:paraId="46604EFC" w14:textId="48A46615" w:rsidR="00635576" w:rsidRPr="00CC420D" w:rsidRDefault="00635576" w:rsidP="00CC420D">
      <w:pPr>
        <w:spacing w:line="360" w:lineRule="auto"/>
        <w:contextualSpacing/>
        <w:jc w:val="both"/>
        <w:rPr>
          <w:rFonts w:ascii="Arial" w:hAnsi="Arial" w:cs="Arial"/>
        </w:rPr>
      </w:pPr>
      <w:r w:rsidRPr="00CC420D">
        <w:rPr>
          <w:rFonts w:ascii="Arial" w:hAnsi="Arial" w:cs="Arial"/>
          <w:b/>
          <w:bCs/>
          <w:u w:val="single"/>
        </w:rPr>
        <w:t>Mots clés :</w:t>
      </w:r>
      <w:r w:rsidRPr="00CC420D">
        <w:rPr>
          <w:rFonts w:ascii="Arial" w:hAnsi="Arial" w:cs="Arial"/>
        </w:rPr>
        <w:t xml:space="preserve"> </w:t>
      </w:r>
      <w:r w:rsidRPr="00CC420D">
        <w:rPr>
          <w:rFonts w:ascii="Arial" w:hAnsi="Arial" w:cs="Arial"/>
        </w:rPr>
        <w:t>Dépenses de santé catastrophiques; Protection financière; Capacité à payer; Inégalités sociales de santé; Côte d’Ivoire</w:t>
      </w:r>
    </w:p>
    <w:sectPr w:rsidR="00635576" w:rsidRPr="00CC42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76"/>
    <w:rsid w:val="00035BAC"/>
    <w:rsid w:val="002E7A61"/>
    <w:rsid w:val="003332AC"/>
    <w:rsid w:val="003617E0"/>
    <w:rsid w:val="00635576"/>
    <w:rsid w:val="007F606A"/>
    <w:rsid w:val="008D24D0"/>
    <w:rsid w:val="00AC1E6B"/>
    <w:rsid w:val="00B0242E"/>
    <w:rsid w:val="00B41764"/>
    <w:rsid w:val="00B90B38"/>
    <w:rsid w:val="00BA5787"/>
    <w:rsid w:val="00BC3990"/>
    <w:rsid w:val="00BC4F91"/>
    <w:rsid w:val="00C462C3"/>
    <w:rsid w:val="00C464D8"/>
    <w:rsid w:val="00C605C5"/>
    <w:rsid w:val="00CC420D"/>
    <w:rsid w:val="00D9466F"/>
    <w:rsid w:val="00E95937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879D"/>
  <w15:chartTrackingRefBased/>
  <w15:docId w15:val="{8D8D9251-F0A4-4C75-B32D-D9D68956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5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57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57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5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5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5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5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5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5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57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57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ffis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KOUAME KOFFI</dc:creator>
  <cp:keywords/>
  <dc:description/>
  <cp:lastModifiedBy>KOUAME KOFFI</cp:lastModifiedBy>
  <cp:revision>1</cp:revision>
  <dcterms:created xsi:type="dcterms:W3CDTF">2025-07-20T19:39:00Z</dcterms:created>
  <dcterms:modified xsi:type="dcterms:W3CDTF">2025-07-20T21:56:00Z</dcterms:modified>
</cp:coreProperties>
</file>