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B5FE" w14:textId="40813569" w:rsidR="003C076F" w:rsidRPr="003C076F" w:rsidRDefault="003C076F" w:rsidP="003C076F">
      <w:pPr>
        <w:spacing w:line="276" w:lineRule="auto"/>
        <w:jc w:val="both"/>
        <w:rPr>
          <w:rFonts w:ascii="Arial" w:hAnsi="Arial" w:cs="Arial"/>
          <w:sz w:val="24"/>
          <w:szCs w:val="24"/>
        </w:rPr>
      </w:pPr>
      <w:r w:rsidRPr="003C076F">
        <w:rPr>
          <w:rFonts w:ascii="Arial" w:hAnsi="Arial" w:cs="Arial"/>
          <w:b/>
          <w:bCs/>
          <w:sz w:val="24"/>
          <w:szCs w:val="24"/>
        </w:rPr>
        <w:t>Élaboration des Niveaux de Référence Diagnostiques (NRD) en</w:t>
      </w:r>
      <w:r>
        <w:rPr>
          <w:rFonts w:ascii="Arial" w:hAnsi="Arial" w:cs="Arial"/>
          <w:b/>
          <w:bCs/>
          <w:sz w:val="24"/>
          <w:szCs w:val="24"/>
        </w:rPr>
        <w:t xml:space="preserve"> tomodensitométrie </w:t>
      </w:r>
      <w:r w:rsidRPr="003C076F">
        <w:rPr>
          <w:rFonts w:ascii="Arial" w:hAnsi="Arial" w:cs="Arial"/>
          <w:b/>
          <w:bCs/>
          <w:sz w:val="24"/>
          <w:szCs w:val="24"/>
        </w:rPr>
        <w:t xml:space="preserve">: </w:t>
      </w:r>
      <w:r>
        <w:rPr>
          <w:rFonts w:ascii="Arial" w:hAnsi="Arial" w:cs="Arial"/>
          <w:b/>
          <w:bCs/>
          <w:sz w:val="24"/>
          <w:szCs w:val="24"/>
        </w:rPr>
        <w:t>é</w:t>
      </w:r>
      <w:r w:rsidRPr="003C076F">
        <w:rPr>
          <w:rFonts w:ascii="Arial" w:hAnsi="Arial" w:cs="Arial"/>
          <w:b/>
          <w:bCs/>
          <w:sz w:val="24"/>
          <w:szCs w:val="24"/>
        </w:rPr>
        <w:t xml:space="preserve">tude </w:t>
      </w:r>
      <w:r>
        <w:rPr>
          <w:rFonts w:ascii="Arial" w:hAnsi="Arial" w:cs="Arial"/>
          <w:b/>
          <w:bCs/>
          <w:sz w:val="24"/>
          <w:szCs w:val="24"/>
        </w:rPr>
        <w:t>p</w:t>
      </w:r>
      <w:r w:rsidRPr="003C076F">
        <w:rPr>
          <w:rFonts w:ascii="Arial" w:hAnsi="Arial" w:cs="Arial"/>
          <w:b/>
          <w:bCs/>
          <w:sz w:val="24"/>
          <w:szCs w:val="24"/>
        </w:rPr>
        <w:t xml:space="preserve">réliminaire au </w:t>
      </w:r>
      <w:r>
        <w:rPr>
          <w:rFonts w:ascii="Arial" w:hAnsi="Arial" w:cs="Arial"/>
          <w:b/>
          <w:bCs/>
          <w:sz w:val="24"/>
          <w:szCs w:val="24"/>
        </w:rPr>
        <w:t>n</w:t>
      </w:r>
      <w:r w:rsidRPr="003C076F">
        <w:rPr>
          <w:rFonts w:ascii="Arial" w:hAnsi="Arial" w:cs="Arial"/>
          <w:b/>
          <w:bCs/>
          <w:sz w:val="24"/>
          <w:szCs w:val="24"/>
        </w:rPr>
        <w:t>ord du Bénin en 2024</w:t>
      </w:r>
      <w:r w:rsidRPr="003C076F">
        <w:rPr>
          <w:rFonts w:ascii="Arial" w:hAnsi="Arial" w:cs="Arial"/>
          <w:sz w:val="24"/>
          <w:szCs w:val="24"/>
        </w:rPr>
        <w:t>.</w:t>
      </w:r>
    </w:p>
    <w:p w14:paraId="43609AA1" w14:textId="1B467282" w:rsidR="003C076F" w:rsidRPr="003C076F" w:rsidRDefault="003C076F" w:rsidP="003C076F">
      <w:pPr>
        <w:spacing w:line="276" w:lineRule="auto"/>
        <w:jc w:val="both"/>
        <w:rPr>
          <w:rFonts w:ascii="Arial" w:hAnsi="Arial" w:cs="Arial"/>
          <w:sz w:val="24"/>
          <w:szCs w:val="24"/>
        </w:rPr>
      </w:pPr>
      <w:r w:rsidRPr="003C076F">
        <w:rPr>
          <w:rFonts w:ascii="Arial" w:hAnsi="Arial" w:cs="Arial"/>
          <w:sz w:val="24"/>
          <w:szCs w:val="24"/>
        </w:rPr>
        <w:t xml:space="preserve">Auteurs : AKANNI DWMM </w:t>
      </w:r>
      <w:r w:rsidRPr="003C076F">
        <w:rPr>
          <w:rFonts w:ascii="Arial" w:hAnsi="Arial" w:cs="Arial"/>
          <w:sz w:val="24"/>
          <w:szCs w:val="24"/>
          <w:vertAlign w:val="superscript"/>
        </w:rPr>
        <w:t>1</w:t>
      </w:r>
      <w:r>
        <w:rPr>
          <w:rFonts w:ascii="Arial" w:hAnsi="Arial" w:cs="Arial"/>
          <w:sz w:val="24"/>
          <w:szCs w:val="24"/>
          <w:vertAlign w:val="superscript"/>
        </w:rPr>
        <w:t>,2</w:t>
      </w:r>
      <w:r>
        <w:rPr>
          <w:rFonts w:ascii="Arial" w:hAnsi="Arial" w:cs="Arial"/>
          <w:sz w:val="24"/>
          <w:szCs w:val="24"/>
        </w:rPr>
        <w:t xml:space="preserve">, </w:t>
      </w:r>
      <w:r w:rsidRPr="003C076F">
        <w:rPr>
          <w:rFonts w:ascii="Arial" w:hAnsi="Arial" w:cs="Arial"/>
          <w:sz w:val="24"/>
          <w:szCs w:val="24"/>
        </w:rPr>
        <w:t>FACHINAN</w:t>
      </w:r>
      <w:r>
        <w:rPr>
          <w:rFonts w:ascii="Arial" w:hAnsi="Arial" w:cs="Arial"/>
          <w:sz w:val="24"/>
          <w:szCs w:val="24"/>
        </w:rPr>
        <w:t xml:space="preserve"> O.H.</w:t>
      </w:r>
      <w:r w:rsidRPr="003C076F">
        <w:rPr>
          <w:rFonts w:ascii="Arial" w:hAnsi="Arial" w:cs="Arial"/>
          <w:sz w:val="24"/>
          <w:szCs w:val="24"/>
          <w:vertAlign w:val="superscript"/>
        </w:rPr>
        <w:t>1</w:t>
      </w:r>
      <w:r w:rsidRPr="003C076F">
        <w:rPr>
          <w:rFonts w:ascii="Arial" w:hAnsi="Arial" w:cs="Arial"/>
          <w:sz w:val="24"/>
          <w:szCs w:val="24"/>
        </w:rPr>
        <w:t>, AGAÏ</w:t>
      </w:r>
      <w:r w:rsidRPr="003C076F">
        <w:rPr>
          <w:rFonts w:ascii="Arial" w:hAnsi="Arial" w:cs="Arial"/>
          <w:sz w:val="24"/>
          <w:szCs w:val="24"/>
        </w:rPr>
        <w:t xml:space="preserve"> </w:t>
      </w:r>
      <w:r w:rsidRPr="003C076F">
        <w:rPr>
          <w:rFonts w:ascii="Arial" w:hAnsi="Arial" w:cs="Arial"/>
          <w:sz w:val="24"/>
          <w:szCs w:val="24"/>
        </w:rPr>
        <w:t xml:space="preserve">J-B. K. </w:t>
      </w:r>
      <w:r w:rsidRPr="003C076F">
        <w:rPr>
          <w:rFonts w:ascii="Arial" w:hAnsi="Arial" w:cs="Arial"/>
          <w:sz w:val="24"/>
          <w:szCs w:val="24"/>
          <w:vertAlign w:val="superscript"/>
        </w:rPr>
        <w:t>1</w:t>
      </w:r>
      <w:r>
        <w:rPr>
          <w:rFonts w:ascii="Arial" w:hAnsi="Arial" w:cs="Arial"/>
          <w:sz w:val="24"/>
          <w:szCs w:val="24"/>
          <w:vertAlign w:val="superscript"/>
        </w:rPr>
        <w:t>,3</w:t>
      </w:r>
      <w:r w:rsidRPr="003C076F">
        <w:rPr>
          <w:rFonts w:ascii="Arial" w:hAnsi="Arial" w:cs="Arial"/>
          <w:sz w:val="24"/>
          <w:szCs w:val="24"/>
        </w:rPr>
        <w:t>, TCHÉOUBI</w:t>
      </w:r>
      <w:r w:rsidRPr="003C076F">
        <w:rPr>
          <w:rFonts w:ascii="Arial" w:hAnsi="Arial" w:cs="Arial"/>
          <w:sz w:val="24"/>
          <w:szCs w:val="24"/>
        </w:rPr>
        <w:t xml:space="preserve"> </w:t>
      </w:r>
      <w:r w:rsidRPr="003C076F">
        <w:rPr>
          <w:rFonts w:ascii="Arial" w:hAnsi="Arial" w:cs="Arial"/>
          <w:sz w:val="24"/>
          <w:szCs w:val="24"/>
        </w:rPr>
        <w:t xml:space="preserve">D.G.A.P. </w:t>
      </w:r>
      <w:r w:rsidRPr="003C076F">
        <w:rPr>
          <w:rFonts w:ascii="Arial" w:hAnsi="Arial" w:cs="Arial"/>
          <w:sz w:val="24"/>
          <w:szCs w:val="24"/>
          <w:vertAlign w:val="superscript"/>
        </w:rPr>
        <w:t>1</w:t>
      </w:r>
      <w:r w:rsidRPr="003C076F">
        <w:rPr>
          <w:rFonts w:ascii="Arial" w:hAnsi="Arial" w:cs="Arial"/>
          <w:sz w:val="24"/>
          <w:szCs w:val="24"/>
        </w:rPr>
        <w:t>, ADJANAYO</w:t>
      </w:r>
      <w:r w:rsidRPr="003C076F">
        <w:rPr>
          <w:rFonts w:ascii="Arial" w:hAnsi="Arial" w:cs="Arial"/>
          <w:sz w:val="24"/>
          <w:szCs w:val="24"/>
        </w:rPr>
        <w:t xml:space="preserve"> </w:t>
      </w:r>
      <w:r w:rsidRPr="003C076F">
        <w:rPr>
          <w:rFonts w:ascii="Arial" w:hAnsi="Arial" w:cs="Arial"/>
          <w:sz w:val="24"/>
          <w:szCs w:val="24"/>
        </w:rPr>
        <w:t xml:space="preserve">A-S. </w:t>
      </w:r>
      <w:r w:rsidRPr="003C076F">
        <w:rPr>
          <w:rFonts w:ascii="Arial" w:hAnsi="Arial" w:cs="Arial"/>
          <w:sz w:val="24"/>
          <w:szCs w:val="24"/>
          <w:vertAlign w:val="superscript"/>
        </w:rPr>
        <w:t>1</w:t>
      </w:r>
      <w:r>
        <w:rPr>
          <w:rFonts w:ascii="Arial" w:hAnsi="Arial" w:cs="Arial"/>
          <w:sz w:val="24"/>
          <w:szCs w:val="24"/>
          <w:vertAlign w:val="superscript"/>
        </w:rPr>
        <w:t>,2</w:t>
      </w:r>
      <w:r w:rsidRPr="003C076F">
        <w:rPr>
          <w:rFonts w:ascii="Arial" w:hAnsi="Arial" w:cs="Arial"/>
          <w:sz w:val="24"/>
          <w:szCs w:val="24"/>
        </w:rPr>
        <w:t>, SAVI DE TOVÉ</w:t>
      </w:r>
      <w:r w:rsidRPr="003C076F">
        <w:rPr>
          <w:rFonts w:ascii="Arial" w:hAnsi="Arial" w:cs="Arial"/>
          <w:sz w:val="24"/>
          <w:szCs w:val="24"/>
          <w:vertAlign w:val="superscript"/>
        </w:rPr>
        <w:t>1</w:t>
      </w:r>
      <w:r>
        <w:rPr>
          <w:rFonts w:ascii="Arial" w:hAnsi="Arial" w:cs="Arial"/>
          <w:sz w:val="24"/>
          <w:szCs w:val="24"/>
          <w:vertAlign w:val="superscript"/>
        </w:rPr>
        <w:t xml:space="preserve"> </w:t>
      </w:r>
      <w:r w:rsidRPr="003C076F">
        <w:rPr>
          <w:rFonts w:ascii="Arial" w:hAnsi="Arial" w:cs="Arial"/>
          <w:sz w:val="24"/>
          <w:szCs w:val="24"/>
        </w:rPr>
        <w:t>K.-M.</w:t>
      </w:r>
      <w:r>
        <w:rPr>
          <w:rFonts w:ascii="Arial" w:hAnsi="Arial" w:cs="Arial"/>
          <w:sz w:val="24"/>
          <w:szCs w:val="24"/>
          <w:vertAlign w:val="superscript"/>
        </w:rPr>
        <w:t>,2</w:t>
      </w:r>
      <w:r w:rsidRPr="003C076F">
        <w:rPr>
          <w:rFonts w:ascii="Arial" w:hAnsi="Arial" w:cs="Arial"/>
          <w:sz w:val="24"/>
          <w:szCs w:val="24"/>
        </w:rPr>
        <w:t>.</w:t>
      </w:r>
    </w:p>
    <w:p w14:paraId="6C18E5A8" w14:textId="77777777" w:rsidR="003C076F" w:rsidRPr="003C076F" w:rsidRDefault="003C076F" w:rsidP="003C076F">
      <w:pPr>
        <w:spacing w:line="276" w:lineRule="auto"/>
        <w:jc w:val="both"/>
        <w:rPr>
          <w:rFonts w:ascii="Arial" w:hAnsi="Arial" w:cs="Arial"/>
          <w:sz w:val="24"/>
          <w:szCs w:val="24"/>
        </w:rPr>
      </w:pPr>
      <w:r w:rsidRPr="003C076F">
        <w:rPr>
          <w:rFonts w:ascii="Arial" w:hAnsi="Arial" w:cs="Arial"/>
          <w:sz w:val="24"/>
          <w:szCs w:val="24"/>
        </w:rPr>
        <w:t>1.</w:t>
      </w:r>
      <w:r w:rsidRPr="003C076F">
        <w:rPr>
          <w:rFonts w:ascii="Arial" w:hAnsi="Arial" w:cs="Arial"/>
          <w:sz w:val="24"/>
          <w:szCs w:val="24"/>
        </w:rPr>
        <w:tab/>
        <w:t xml:space="preserve">Faculté de Médecine de Parakou, Université de Parakou </w:t>
      </w:r>
    </w:p>
    <w:p w14:paraId="122F4FB3" w14:textId="77777777" w:rsidR="003C076F" w:rsidRPr="003C076F" w:rsidRDefault="003C076F" w:rsidP="003C076F">
      <w:pPr>
        <w:spacing w:line="276" w:lineRule="auto"/>
        <w:jc w:val="both"/>
        <w:rPr>
          <w:rFonts w:ascii="Arial" w:hAnsi="Arial" w:cs="Arial"/>
          <w:sz w:val="24"/>
          <w:szCs w:val="24"/>
        </w:rPr>
      </w:pPr>
      <w:r w:rsidRPr="003C076F">
        <w:rPr>
          <w:rFonts w:ascii="Arial" w:hAnsi="Arial" w:cs="Arial"/>
          <w:sz w:val="24"/>
          <w:szCs w:val="24"/>
        </w:rPr>
        <w:t>2.</w:t>
      </w:r>
      <w:r w:rsidRPr="003C076F">
        <w:rPr>
          <w:rFonts w:ascii="Arial" w:hAnsi="Arial" w:cs="Arial"/>
          <w:sz w:val="24"/>
          <w:szCs w:val="24"/>
        </w:rPr>
        <w:tab/>
        <w:t xml:space="preserve">Service d’imagerie du Centre Hospitalier Universitaire Départemental du Borgou (CHUD-B) </w:t>
      </w:r>
    </w:p>
    <w:p w14:paraId="3C114EA2" w14:textId="77777777" w:rsidR="003C076F" w:rsidRPr="003C076F" w:rsidRDefault="003C076F" w:rsidP="003C076F">
      <w:pPr>
        <w:spacing w:line="276" w:lineRule="auto"/>
        <w:jc w:val="both"/>
        <w:rPr>
          <w:rFonts w:ascii="Arial" w:hAnsi="Arial" w:cs="Arial"/>
          <w:sz w:val="24"/>
          <w:szCs w:val="24"/>
        </w:rPr>
      </w:pPr>
      <w:r w:rsidRPr="003C076F">
        <w:rPr>
          <w:rFonts w:ascii="Arial" w:hAnsi="Arial" w:cs="Arial"/>
          <w:sz w:val="24"/>
          <w:szCs w:val="24"/>
        </w:rPr>
        <w:t>3.</w:t>
      </w:r>
      <w:r w:rsidRPr="003C076F">
        <w:rPr>
          <w:rFonts w:ascii="Arial" w:hAnsi="Arial" w:cs="Arial"/>
          <w:sz w:val="24"/>
          <w:szCs w:val="24"/>
        </w:rPr>
        <w:tab/>
        <w:t>Service d’Imagerie de l’Hôpital des Instructions des Armées de Parakou - Centre Hospitalier Universitaire (HIA-CHU)</w:t>
      </w:r>
    </w:p>
    <w:p w14:paraId="7F027710" w14:textId="77777777" w:rsidR="003C076F" w:rsidRPr="003C076F" w:rsidRDefault="003C076F" w:rsidP="003C076F">
      <w:pPr>
        <w:spacing w:line="276" w:lineRule="auto"/>
        <w:jc w:val="both"/>
        <w:rPr>
          <w:rFonts w:ascii="Arial" w:hAnsi="Arial" w:cs="Arial"/>
          <w:sz w:val="24"/>
          <w:szCs w:val="24"/>
        </w:rPr>
      </w:pPr>
      <w:r w:rsidRPr="003C076F">
        <w:rPr>
          <w:rFonts w:ascii="Arial" w:hAnsi="Arial" w:cs="Arial"/>
          <w:sz w:val="24"/>
          <w:szCs w:val="24"/>
        </w:rPr>
        <w:t>Auteur correspondant : AKANNI Djivèdé Witchékpo Maurice Mohamed ; djivakanni@yahoo.fr, 06BP3263 Cotonou Bénin. Téléphone : (00229) 0166249207</w:t>
      </w:r>
    </w:p>
    <w:p w14:paraId="1C9E9554" w14:textId="77777777" w:rsidR="003C076F" w:rsidRPr="003C076F" w:rsidRDefault="003C076F" w:rsidP="003C076F">
      <w:pPr>
        <w:spacing w:line="276" w:lineRule="auto"/>
        <w:jc w:val="both"/>
        <w:rPr>
          <w:rFonts w:ascii="Arial" w:hAnsi="Arial" w:cs="Arial"/>
          <w:sz w:val="24"/>
          <w:szCs w:val="24"/>
        </w:rPr>
      </w:pPr>
    </w:p>
    <w:p w14:paraId="0AD37C61" w14:textId="77777777" w:rsidR="003C076F" w:rsidRPr="003C076F" w:rsidRDefault="003C076F" w:rsidP="003C076F">
      <w:pPr>
        <w:spacing w:line="276" w:lineRule="auto"/>
        <w:jc w:val="both"/>
        <w:rPr>
          <w:rFonts w:ascii="Arial" w:hAnsi="Arial" w:cs="Arial"/>
          <w:sz w:val="24"/>
          <w:szCs w:val="24"/>
        </w:rPr>
      </w:pPr>
      <w:r w:rsidRPr="003C076F">
        <w:rPr>
          <w:rFonts w:ascii="Arial" w:hAnsi="Arial" w:cs="Arial"/>
          <w:sz w:val="24"/>
          <w:szCs w:val="24"/>
        </w:rPr>
        <w:t xml:space="preserve">Résumé </w:t>
      </w:r>
    </w:p>
    <w:p w14:paraId="6E5745F0" w14:textId="7E02F6EE" w:rsidR="003C076F" w:rsidRPr="003C076F" w:rsidRDefault="003C076F" w:rsidP="003C076F">
      <w:pPr>
        <w:spacing w:line="276" w:lineRule="auto"/>
        <w:jc w:val="both"/>
        <w:rPr>
          <w:rFonts w:ascii="Arial" w:hAnsi="Arial" w:cs="Arial"/>
          <w:sz w:val="24"/>
          <w:szCs w:val="24"/>
        </w:rPr>
      </w:pPr>
      <w:r w:rsidRPr="003C076F">
        <w:rPr>
          <w:rFonts w:ascii="Arial" w:hAnsi="Arial" w:cs="Arial"/>
          <w:sz w:val="24"/>
          <w:szCs w:val="24"/>
        </w:rPr>
        <w:t xml:space="preserve">Introduction : </w:t>
      </w:r>
      <w:r w:rsidR="00ED50C2">
        <w:rPr>
          <w:rFonts w:ascii="Arial" w:hAnsi="Arial" w:cs="Arial"/>
          <w:sz w:val="24"/>
          <w:szCs w:val="24"/>
        </w:rPr>
        <w:t>c</w:t>
      </w:r>
      <w:r w:rsidR="00ED50C2" w:rsidRPr="00ED50C2">
        <w:rPr>
          <w:rFonts w:ascii="Arial" w:hAnsi="Arial" w:cs="Arial"/>
          <w:sz w:val="24"/>
          <w:szCs w:val="24"/>
        </w:rPr>
        <w:t>ette étude préliminaire visait à évaluer les doses délivrées lors des examens de tomodensitométrie (TDM) dans cinq centres du nord Bénin et à proposer des niveaux de référence diagnostiques (NRD) adaptés au contexte local, en réponse à l’absence de standards nationaux</w:t>
      </w:r>
      <w:r w:rsidRPr="003C076F">
        <w:rPr>
          <w:rFonts w:ascii="Arial" w:hAnsi="Arial" w:cs="Arial"/>
          <w:sz w:val="24"/>
          <w:szCs w:val="24"/>
        </w:rPr>
        <w:t>.</w:t>
      </w:r>
    </w:p>
    <w:p w14:paraId="094F7D12" w14:textId="497DD65C" w:rsidR="00ED50C2" w:rsidRDefault="003C076F" w:rsidP="003C076F">
      <w:pPr>
        <w:spacing w:line="276" w:lineRule="auto"/>
        <w:jc w:val="both"/>
        <w:rPr>
          <w:rFonts w:ascii="Arial" w:hAnsi="Arial" w:cs="Arial"/>
          <w:sz w:val="24"/>
          <w:szCs w:val="24"/>
        </w:rPr>
      </w:pPr>
      <w:r w:rsidRPr="003C076F">
        <w:rPr>
          <w:rFonts w:ascii="Arial" w:hAnsi="Arial" w:cs="Arial"/>
          <w:sz w:val="24"/>
          <w:szCs w:val="24"/>
        </w:rPr>
        <w:t xml:space="preserve">Matériel et méthodes : </w:t>
      </w:r>
      <w:r w:rsidR="00ED50C2">
        <w:rPr>
          <w:rFonts w:ascii="Arial" w:hAnsi="Arial" w:cs="Arial"/>
          <w:sz w:val="24"/>
          <w:szCs w:val="24"/>
        </w:rPr>
        <w:t>une</w:t>
      </w:r>
      <w:r w:rsidR="00ED50C2" w:rsidRPr="00ED50C2">
        <w:rPr>
          <w:rFonts w:ascii="Arial" w:hAnsi="Arial" w:cs="Arial"/>
          <w:sz w:val="24"/>
          <w:szCs w:val="24"/>
        </w:rPr>
        <w:t xml:space="preserve"> étude transversale descriptive a été menée de février à juillet 2024 auprès de patients adultes et pédiatriques ayant bénéficié d’examens TDM. Les données collectées (démographiques, cliniques, techniques, dosimétriques) ont été analysées selon les recommandations de l’AIEA. Les doses ont été comparées aux NRD français (IRSN 2023) et les doses efficaces estimées à partir des coefficients de conversion de la CIPR 103</w:t>
      </w:r>
      <w:r w:rsidR="00ED50C2">
        <w:rPr>
          <w:rFonts w:ascii="Arial" w:hAnsi="Arial" w:cs="Arial"/>
          <w:sz w:val="24"/>
          <w:szCs w:val="24"/>
        </w:rPr>
        <w:t>.</w:t>
      </w:r>
    </w:p>
    <w:p w14:paraId="4C6771AD" w14:textId="3F9319BF" w:rsidR="003C076F" w:rsidRPr="003C076F" w:rsidRDefault="003C076F" w:rsidP="003C076F">
      <w:pPr>
        <w:spacing w:line="276" w:lineRule="auto"/>
        <w:jc w:val="both"/>
        <w:rPr>
          <w:rFonts w:ascii="Arial" w:hAnsi="Arial" w:cs="Arial"/>
          <w:sz w:val="24"/>
          <w:szCs w:val="24"/>
        </w:rPr>
      </w:pPr>
      <w:r w:rsidRPr="003C076F">
        <w:rPr>
          <w:rFonts w:ascii="Arial" w:hAnsi="Arial" w:cs="Arial"/>
          <w:sz w:val="24"/>
          <w:szCs w:val="24"/>
        </w:rPr>
        <w:t xml:space="preserve">Résultats : </w:t>
      </w:r>
      <w:r w:rsidR="000E1F2B">
        <w:rPr>
          <w:rFonts w:ascii="Arial" w:hAnsi="Arial" w:cs="Arial"/>
          <w:sz w:val="24"/>
          <w:szCs w:val="24"/>
        </w:rPr>
        <w:t>un</w:t>
      </w:r>
      <w:r w:rsidR="000E1F2B" w:rsidRPr="000E1F2B">
        <w:rPr>
          <w:rFonts w:ascii="Arial" w:hAnsi="Arial" w:cs="Arial"/>
          <w:sz w:val="24"/>
          <w:szCs w:val="24"/>
        </w:rPr>
        <w:t xml:space="preserve"> total de 2247 patients a été inclus, dont 201 enfants (8,95 %) et 2 046 adultes (91,05 %). Les équipements, installés entre 2018 et 2023, étaient dotés de systèmes de modulation automatique de l’exposition et d’algorithmes de reconstruction itérative. Chez l’enfant, seul le scanner cérébral remplissait les critères d’analyse. Le produit dose-longueur (PDL) médian atteignait 1 204 mGy·cm chez les 10–15 ans, et l’indice de dose scanographique volumique (IDSV) 43 mGy chez les 1–5 ans. Le 75e percentile de l’IDSV dépassait jusqu’à trois fois les NRD français, avec un rapport interquartile de 2,51. Les doses efficaces variaient de 0,77 à 2,03 mSv. Chez l’adulte, les examens les plus fréquents étaient les scanners cérébraux, thoraco-abdomino-pelviens (TAP), lombaires et angioscanners thoraciques. Le PDL au 75e percentile pour le TAP atteignait 2 927,17 mGy·cm, et l’IDSV du scanner cérébral non traumatique 85,08 mGy. Les doses efficaces variaient de 2,33 à 8,88 mSv selon les indications</w:t>
      </w:r>
      <w:r w:rsidR="000E1F2B">
        <w:rPr>
          <w:rFonts w:ascii="Arial" w:hAnsi="Arial" w:cs="Arial"/>
          <w:sz w:val="24"/>
          <w:szCs w:val="24"/>
        </w:rPr>
        <w:t>.</w:t>
      </w:r>
    </w:p>
    <w:p w14:paraId="3780E78B" w14:textId="2865D78F" w:rsidR="003C076F" w:rsidRPr="003C076F" w:rsidRDefault="003C076F" w:rsidP="003C076F">
      <w:pPr>
        <w:spacing w:line="276" w:lineRule="auto"/>
        <w:jc w:val="both"/>
        <w:rPr>
          <w:rFonts w:ascii="Arial" w:hAnsi="Arial" w:cs="Arial"/>
          <w:sz w:val="24"/>
          <w:szCs w:val="24"/>
        </w:rPr>
      </w:pPr>
      <w:r w:rsidRPr="003C076F">
        <w:rPr>
          <w:rFonts w:ascii="Arial" w:hAnsi="Arial" w:cs="Arial"/>
          <w:sz w:val="24"/>
          <w:szCs w:val="24"/>
        </w:rPr>
        <w:t xml:space="preserve">Conclusion : </w:t>
      </w:r>
      <w:r w:rsidR="000E1F2B">
        <w:rPr>
          <w:rFonts w:ascii="Arial" w:hAnsi="Arial" w:cs="Arial"/>
          <w:sz w:val="24"/>
          <w:szCs w:val="24"/>
        </w:rPr>
        <w:t>l</w:t>
      </w:r>
      <w:r w:rsidR="000E1F2B" w:rsidRPr="000E1F2B">
        <w:rPr>
          <w:rFonts w:ascii="Arial" w:hAnsi="Arial" w:cs="Arial"/>
          <w:sz w:val="24"/>
          <w:szCs w:val="24"/>
        </w:rPr>
        <w:t xml:space="preserve">’étude met en évidence une forte variabilité inter-centres, des protocoles inadaptés, et des doses pédiatriques excessives. Ces résultats soulignent l’urgence </w:t>
      </w:r>
      <w:r w:rsidR="000E1F2B" w:rsidRPr="000E1F2B">
        <w:rPr>
          <w:rFonts w:ascii="Arial" w:hAnsi="Arial" w:cs="Arial"/>
          <w:sz w:val="24"/>
          <w:szCs w:val="24"/>
        </w:rPr>
        <w:lastRenderedPageBreak/>
        <w:t>d’établir des NRD nationaux, d’adopter des protocoles spécifiques à la pédiatrie, de former le personnel à l’optimisation des doses et de généraliser les audits dosimétriques pour renforcer la radioprotection en TDM.</w:t>
      </w:r>
    </w:p>
    <w:p w14:paraId="5FA6D6A8" w14:textId="59EB586C" w:rsidR="007422AF" w:rsidRPr="0065326B" w:rsidRDefault="003C076F" w:rsidP="003C076F">
      <w:pPr>
        <w:spacing w:line="276" w:lineRule="auto"/>
        <w:jc w:val="both"/>
        <w:rPr>
          <w:rFonts w:ascii="Arial" w:hAnsi="Arial" w:cs="Arial"/>
          <w:sz w:val="24"/>
          <w:szCs w:val="24"/>
        </w:rPr>
      </w:pPr>
      <w:r w:rsidRPr="003C076F">
        <w:rPr>
          <w:rFonts w:ascii="Arial" w:hAnsi="Arial" w:cs="Arial"/>
          <w:sz w:val="24"/>
          <w:szCs w:val="24"/>
        </w:rPr>
        <w:t xml:space="preserve">Mots clés : </w:t>
      </w:r>
      <w:r w:rsidR="000E1F2B">
        <w:rPr>
          <w:rFonts w:ascii="Arial" w:hAnsi="Arial" w:cs="Arial"/>
          <w:sz w:val="24"/>
          <w:szCs w:val="24"/>
        </w:rPr>
        <w:t>S</w:t>
      </w:r>
      <w:r w:rsidRPr="003C076F">
        <w:rPr>
          <w:rFonts w:ascii="Arial" w:hAnsi="Arial" w:cs="Arial"/>
          <w:sz w:val="24"/>
          <w:szCs w:val="24"/>
        </w:rPr>
        <w:t xml:space="preserve">canner, </w:t>
      </w:r>
      <w:r w:rsidR="000E1F2B">
        <w:rPr>
          <w:rFonts w:ascii="Arial" w:hAnsi="Arial" w:cs="Arial"/>
          <w:sz w:val="24"/>
          <w:szCs w:val="24"/>
        </w:rPr>
        <w:t xml:space="preserve">Niveau de Référence Diagnostique, Dose </w:t>
      </w:r>
      <w:r w:rsidR="00ED50C2">
        <w:rPr>
          <w:rFonts w:ascii="Arial" w:hAnsi="Arial" w:cs="Arial"/>
          <w:sz w:val="24"/>
          <w:szCs w:val="24"/>
        </w:rPr>
        <w:t>patient,</w:t>
      </w:r>
      <w:r w:rsidR="000E1F2B">
        <w:rPr>
          <w:rFonts w:ascii="Arial" w:hAnsi="Arial" w:cs="Arial"/>
          <w:sz w:val="24"/>
          <w:szCs w:val="24"/>
        </w:rPr>
        <w:t xml:space="preserve"> </w:t>
      </w:r>
      <w:r w:rsidR="00ED50C2">
        <w:rPr>
          <w:rFonts w:ascii="Arial" w:hAnsi="Arial" w:cs="Arial"/>
          <w:sz w:val="24"/>
          <w:szCs w:val="24"/>
        </w:rPr>
        <w:t>Radioprotection.</w:t>
      </w:r>
      <w:r w:rsidR="000E1F2B">
        <w:rPr>
          <w:rFonts w:ascii="Arial" w:hAnsi="Arial" w:cs="Arial"/>
          <w:sz w:val="24"/>
          <w:szCs w:val="24"/>
        </w:rPr>
        <w:t xml:space="preserve"> </w:t>
      </w:r>
    </w:p>
    <w:sectPr w:rsidR="007422AF" w:rsidRPr="006532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6B"/>
    <w:rsid w:val="000E1F2B"/>
    <w:rsid w:val="003C076F"/>
    <w:rsid w:val="00417E55"/>
    <w:rsid w:val="0065326B"/>
    <w:rsid w:val="006659C1"/>
    <w:rsid w:val="007422AF"/>
    <w:rsid w:val="009B7F63"/>
    <w:rsid w:val="00ED50C2"/>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C37BB"/>
  <w15:chartTrackingRefBased/>
  <w15:docId w15:val="{A50E874C-C6C2-4657-A8BA-6C7DC212C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J"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532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532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5326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5326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5326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5326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5326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5326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5326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5326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5326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5326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5326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5326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5326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5326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5326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5326B"/>
    <w:rPr>
      <w:rFonts w:eastAsiaTheme="majorEastAsia" w:cstheme="majorBidi"/>
      <w:color w:val="272727" w:themeColor="text1" w:themeTint="D8"/>
    </w:rPr>
  </w:style>
  <w:style w:type="paragraph" w:styleId="Titre">
    <w:name w:val="Title"/>
    <w:basedOn w:val="Normal"/>
    <w:next w:val="Normal"/>
    <w:link w:val="TitreCar"/>
    <w:uiPriority w:val="10"/>
    <w:qFormat/>
    <w:rsid w:val="006532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5326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5326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5326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5326B"/>
    <w:pPr>
      <w:spacing w:before="160"/>
      <w:jc w:val="center"/>
    </w:pPr>
    <w:rPr>
      <w:i/>
      <w:iCs/>
      <w:color w:val="404040" w:themeColor="text1" w:themeTint="BF"/>
    </w:rPr>
  </w:style>
  <w:style w:type="character" w:customStyle="1" w:styleId="CitationCar">
    <w:name w:val="Citation Car"/>
    <w:basedOn w:val="Policepardfaut"/>
    <w:link w:val="Citation"/>
    <w:uiPriority w:val="29"/>
    <w:rsid w:val="0065326B"/>
    <w:rPr>
      <w:i/>
      <w:iCs/>
      <w:color w:val="404040" w:themeColor="text1" w:themeTint="BF"/>
    </w:rPr>
  </w:style>
  <w:style w:type="paragraph" w:styleId="Paragraphedeliste">
    <w:name w:val="List Paragraph"/>
    <w:basedOn w:val="Normal"/>
    <w:uiPriority w:val="34"/>
    <w:qFormat/>
    <w:rsid w:val="0065326B"/>
    <w:pPr>
      <w:ind w:left="720"/>
      <w:contextualSpacing/>
    </w:pPr>
  </w:style>
  <w:style w:type="character" w:styleId="Accentuationintense">
    <w:name w:val="Intense Emphasis"/>
    <w:basedOn w:val="Policepardfaut"/>
    <w:uiPriority w:val="21"/>
    <w:qFormat/>
    <w:rsid w:val="0065326B"/>
    <w:rPr>
      <w:i/>
      <w:iCs/>
      <w:color w:val="2F5496" w:themeColor="accent1" w:themeShade="BF"/>
    </w:rPr>
  </w:style>
  <w:style w:type="paragraph" w:styleId="Citationintense">
    <w:name w:val="Intense Quote"/>
    <w:basedOn w:val="Normal"/>
    <w:next w:val="Normal"/>
    <w:link w:val="CitationintenseCar"/>
    <w:uiPriority w:val="30"/>
    <w:qFormat/>
    <w:rsid w:val="006532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5326B"/>
    <w:rPr>
      <w:i/>
      <w:iCs/>
      <w:color w:val="2F5496" w:themeColor="accent1" w:themeShade="BF"/>
    </w:rPr>
  </w:style>
  <w:style w:type="character" w:styleId="Rfrenceintense">
    <w:name w:val="Intense Reference"/>
    <w:basedOn w:val="Policepardfaut"/>
    <w:uiPriority w:val="32"/>
    <w:qFormat/>
    <w:rsid w:val="006532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431</Words>
  <Characters>2460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djivèdé AKANNI</dc:creator>
  <cp:keywords/>
  <dc:description/>
  <cp:lastModifiedBy>djivèdé AKANNI</cp:lastModifiedBy>
  <cp:revision>2</cp:revision>
  <dcterms:created xsi:type="dcterms:W3CDTF">2025-07-05T11:35:00Z</dcterms:created>
  <dcterms:modified xsi:type="dcterms:W3CDTF">2025-07-05T12:06:00Z</dcterms:modified>
</cp:coreProperties>
</file>