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E67" w:rsidRPr="00C24E67" w:rsidRDefault="00C24E67" w:rsidP="00C24E67">
      <w:pPr>
        <w:ind w:right="120"/>
        <w:jc w:val="both"/>
        <w:rPr>
          <w:rFonts w:ascii="Arial" w:hAnsi="Arial" w:cs="Arial"/>
          <w:color w:val="000000" w:themeColor="text1"/>
        </w:rPr>
      </w:pPr>
      <w:r w:rsidRPr="00C24E67">
        <w:rPr>
          <w:rFonts w:ascii="Arial" w:hAnsi="Arial" w:cs="Arial"/>
          <w:b/>
          <w:bCs/>
          <w:color w:val="000000" w:themeColor="text1"/>
          <w:kern w:val="36"/>
        </w:rPr>
        <w:t>Utilisation de bandelettes de tests de diagnostic rapide comme source d'acide ribonucléique pour la surveillance génomique des virus : l'exemple du SARS-CoV-2</w:t>
      </w:r>
    </w:p>
    <w:p w:rsidR="00C24E67" w:rsidRDefault="00C24E67" w:rsidP="00C24E67">
      <w:pPr>
        <w:ind w:right="120"/>
        <w:rPr>
          <w:rFonts w:ascii="Arial" w:hAnsi="Arial" w:cs="Arial"/>
          <w:b/>
          <w:bCs/>
          <w:color w:val="1B3051"/>
          <w:kern w:val="36"/>
        </w:rPr>
      </w:pPr>
    </w:p>
    <w:p w:rsidR="00426ABF" w:rsidRPr="00DD2C52" w:rsidRDefault="00426ABF" w:rsidP="00C24E67">
      <w:pPr>
        <w:ind w:right="120"/>
        <w:rPr>
          <w:rFonts w:ascii="Arial" w:hAnsi="Arial" w:cs="Arial"/>
          <w:color w:val="1B3051"/>
          <w:kern w:val="36"/>
        </w:rPr>
      </w:pPr>
      <w:r w:rsidRPr="00DD2C52">
        <w:rPr>
          <w:rFonts w:ascii="Arial" w:hAnsi="Arial" w:cs="Arial"/>
          <w:b/>
          <w:bCs/>
          <w:color w:val="000000" w:themeColor="text1"/>
          <w:kern w:val="36"/>
        </w:rPr>
        <w:t>Kadio Jean Jacques Olivier Kadio</w:t>
      </w:r>
      <w:r w:rsidRPr="00DD2C52">
        <w:rPr>
          <w:rFonts w:ascii="Arial" w:hAnsi="Arial" w:cs="Arial"/>
          <w:b/>
          <w:bCs/>
          <w:color w:val="000000" w:themeColor="text1"/>
          <w:kern w:val="36"/>
          <w:vertAlign w:val="superscript"/>
        </w:rPr>
        <w:t>1,2</w:t>
      </w:r>
      <w:r w:rsidRPr="00DD2C52">
        <w:rPr>
          <w:rFonts w:ascii="Arial" w:hAnsi="Arial" w:cs="Arial"/>
          <w:color w:val="1B3051"/>
          <w:kern w:val="36"/>
        </w:rPr>
        <w:t xml:space="preserve">, </w:t>
      </w:r>
      <w:r w:rsidRPr="00DD2C52">
        <w:rPr>
          <w:rFonts w:ascii="Arial" w:hAnsi="Arial" w:cs="Arial"/>
          <w:color w:val="000000" w:themeColor="text1"/>
          <w:kern w:val="36"/>
        </w:rPr>
        <w:t>Alpha Kabin</w:t>
      </w:r>
      <w:r w:rsidRPr="00DD2C52">
        <w:rPr>
          <w:rFonts w:ascii="Arial" w:hAnsi="Arial" w:cs="Arial"/>
          <w:color w:val="000000" w:themeColor="text1"/>
          <w:lang w:val="en-US"/>
        </w:rPr>
        <w:t>é</w:t>
      </w:r>
      <w:r w:rsidRPr="00DD2C52">
        <w:rPr>
          <w:rFonts w:ascii="Arial" w:hAnsi="Arial" w:cs="Arial"/>
          <w:color w:val="000000" w:themeColor="text1"/>
          <w:lang w:val="en-US"/>
        </w:rPr>
        <w:t xml:space="preserve"> Keita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Aminata Mbaye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Abdoul Karim Soumah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Haby Diallo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Thibaut Armel Cherif Gnimadi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Nicole Vidal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Emilande Guichet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DD2C52">
        <w:rPr>
          <w:rFonts w:ascii="Arial" w:hAnsi="Arial" w:cs="Arial"/>
          <w:color w:val="000000" w:themeColor="text1"/>
          <w:lang w:val="en-US"/>
        </w:rPr>
        <w:t xml:space="preserve">, </w:t>
      </w:r>
      <w:r w:rsidRPr="00DD2C52">
        <w:rPr>
          <w:rFonts w:ascii="Arial" w:hAnsi="Arial" w:cs="Arial"/>
          <w:color w:val="000000" w:themeColor="text1"/>
          <w:lang w:val="en-US"/>
        </w:rPr>
        <w:t>Ahidjo</w:t>
      </w:r>
      <w:r w:rsidRPr="00DD2C52">
        <w:rPr>
          <w:rFonts w:ascii="Arial" w:hAnsi="Arial" w:cs="Arial"/>
          <w:color w:val="000000" w:themeColor="text1"/>
          <w:lang w:val="en-US"/>
        </w:rPr>
        <w:t xml:space="preserve"> Ayouba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DD2C52">
        <w:rPr>
          <w:rFonts w:ascii="Arial" w:hAnsi="Arial" w:cs="Arial"/>
          <w:color w:val="000000" w:themeColor="text1"/>
          <w:lang w:val="en-US"/>
        </w:rPr>
        <w:t>, Eric Delaporte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DD2C52">
        <w:rPr>
          <w:rFonts w:ascii="Arial" w:hAnsi="Arial" w:cs="Arial"/>
          <w:color w:val="000000" w:themeColor="text1"/>
          <w:lang w:val="en-US"/>
        </w:rPr>
        <w:t>, Martine Peteers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DD2C52">
        <w:rPr>
          <w:rFonts w:ascii="Arial" w:hAnsi="Arial" w:cs="Arial"/>
          <w:color w:val="000000" w:themeColor="text1"/>
          <w:lang w:val="en-US"/>
        </w:rPr>
        <w:t xml:space="preserve">, Alpha </w:t>
      </w:r>
      <w:proofErr w:type="spellStart"/>
      <w:r w:rsidRPr="00DD2C52">
        <w:rPr>
          <w:rFonts w:ascii="Arial" w:hAnsi="Arial" w:cs="Arial"/>
          <w:color w:val="000000" w:themeColor="text1"/>
          <w:lang w:val="en-US"/>
        </w:rPr>
        <w:t>Kabinet</w:t>
      </w:r>
      <w:proofErr w:type="spellEnd"/>
      <w:r w:rsidRPr="00DD2C52">
        <w:rPr>
          <w:rFonts w:ascii="Arial" w:hAnsi="Arial" w:cs="Arial"/>
          <w:color w:val="000000" w:themeColor="text1"/>
          <w:lang w:val="en-US"/>
        </w:rPr>
        <w:t xml:space="preserve"> Keita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DD2C52">
        <w:rPr>
          <w:rFonts w:ascii="Arial" w:hAnsi="Arial" w:cs="Arial"/>
          <w:color w:val="000000" w:themeColor="text1"/>
          <w:lang w:val="en-US"/>
        </w:rPr>
        <w:t>, Abdoulaye Tour</w:t>
      </w:r>
      <w:r w:rsidRPr="00DD2C52">
        <w:rPr>
          <w:rFonts w:ascii="Arial" w:hAnsi="Arial" w:cs="Arial"/>
          <w:color w:val="000000" w:themeColor="text1"/>
          <w:lang w:val="en-US"/>
        </w:rPr>
        <w:t>é</w:t>
      </w:r>
      <w:r w:rsidRPr="00DD2C52">
        <w:rPr>
          <w:rFonts w:ascii="Arial" w:hAnsi="Arial" w:cs="Arial"/>
          <w:color w:val="000000" w:themeColor="text1"/>
          <w:vertAlign w:val="superscript"/>
          <w:lang w:val="en-US"/>
        </w:rPr>
        <w:t>1,2</w:t>
      </w:r>
      <w:r w:rsidRPr="00DD2C52">
        <w:rPr>
          <w:rFonts w:ascii="Arial" w:hAnsi="Arial" w:cs="Arial"/>
          <w:color w:val="000000" w:themeColor="text1"/>
          <w:lang w:val="en-US"/>
        </w:rPr>
        <w:t xml:space="preserve"> &amp; AFROSCREEN Team</w:t>
      </w:r>
    </w:p>
    <w:p w:rsidR="00C24E67" w:rsidRPr="00FB3C54" w:rsidRDefault="00C24E67" w:rsidP="00C24E67">
      <w:pPr>
        <w:ind w:right="120"/>
        <w:jc w:val="both"/>
        <w:rPr>
          <w:rFonts w:ascii="Arial" w:hAnsi="Arial" w:cs="Arial"/>
        </w:rPr>
      </w:pPr>
    </w:p>
    <w:p w:rsidR="00C24E67" w:rsidRDefault="00C24E67" w:rsidP="00C24E67">
      <w:pPr>
        <w:rPr>
          <w:lang w:val="en-US"/>
        </w:rPr>
      </w:pPr>
    </w:p>
    <w:p w:rsidR="00C24E67" w:rsidRPr="001F018E" w:rsidRDefault="00C24E67" w:rsidP="00C24E67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1F018E">
        <w:rPr>
          <w:rFonts w:ascii="Arial" w:hAnsi="Arial" w:cs="Arial"/>
          <w:color w:val="000000" w:themeColor="text1"/>
          <w:lang w:val="en-US"/>
        </w:rPr>
        <w:t xml:space="preserve">Centre de Recherche et de Formation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en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Infectiologie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Guinée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(CERFIG), Université Gamal Abdel Nasser de Conakry,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Guinée</w:t>
      </w:r>
      <w:proofErr w:type="spellEnd"/>
    </w:p>
    <w:p w:rsidR="00C24E67" w:rsidRPr="001F018E" w:rsidRDefault="00C24E67" w:rsidP="00C24E67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Pr="001F018E">
        <w:rPr>
          <w:rFonts w:ascii="Arial" w:hAnsi="Arial" w:cs="Arial"/>
          <w:color w:val="000000" w:themeColor="text1"/>
          <w:lang w:val="en-US"/>
        </w:rPr>
        <w:t xml:space="preserve">Chaire de Santé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publique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et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législation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phamaceutique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, Département des sciences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pharmaceutiques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et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biologiques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, Universite Gamal Abdel Nasser de Conakry,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Guinée</w:t>
      </w:r>
      <w:proofErr w:type="spellEnd"/>
    </w:p>
    <w:p w:rsidR="00C24E67" w:rsidRDefault="00C24E67" w:rsidP="00C24E67">
      <w:pPr>
        <w:jc w:val="both"/>
        <w:rPr>
          <w:rFonts w:ascii="Arial" w:hAnsi="Arial" w:cs="Arial"/>
          <w:color w:val="222222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C24E67">
        <w:rPr>
          <w:rFonts w:ascii="Arial" w:hAnsi="Arial" w:cs="Arial"/>
          <w:color w:val="222222"/>
        </w:rPr>
        <w:t>Institut de Recherche pour le Développement (IRD), INSERM, TransVIHMI, University of Montpellier</w:t>
      </w:r>
    </w:p>
    <w:p w:rsidR="00C24E67" w:rsidRDefault="00C24E67" w:rsidP="00C24E67">
      <w:pPr>
        <w:jc w:val="both"/>
        <w:rPr>
          <w:rFonts w:ascii="Arial" w:hAnsi="Arial" w:cs="Arial"/>
          <w:color w:val="222222"/>
        </w:rPr>
      </w:pPr>
    </w:p>
    <w:p w:rsidR="00C24E67" w:rsidRPr="001F018E" w:rsidRDefault="00C24E67" w:rsidP="00C24E67">
      <w:pPr>
        <w:pStyle w:val="NormalWeb"/>
        <w:jc w:val="both"/>
        <w:rPr>
          <w:rFonts w:ascii="Arial" w:hAnsi="Arial" w:cs="Arial"/>
          <w:b/>
          <w:bCs/>
          <w:color w:val="000000" w:themeColor="text1"/>
          <w:u w:val="single"/>
          <w:lang w:val="en-US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Auteur </w:t>
      </w:r>
      <w:proofErr w:type="spellStart"/>
      <w:r>
        <w:rPr>
          <w:rFonts w:ascii="Arial" w:hAnsi="Arial" w:cs="Arial"/>
          <w:b/>
          <w:bCs/>
          <w:color w:val="000000" w:themeColor="text1"/>
          <w:u w:val="single"/>
          <w:lang w:val="en-US"/>
        </w:rPr>
        <w:t>correspondant</w:t>
      </w:r>
      <w:proofErr w:type="spellEnd"/>
      <w:r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 </w:t>
      </w:r>
    </w:p>
    <w:p w:rsidR="00C24E67" w:rsidRPr="001F018E" w:rsidRDefault="00C24E67" w:rsidP="00C24E67">
      <w:pPr>
        <w:pStyle w:val="Heading3"/>
        <w:spacing w:line="300" w:lineRule="atLeast"/>
        <w:jc w:val="both"/>
        <w:rPr>
          <w:rFonts w:ascii="Arial" w:hAnsi="Arial" w:cs="Arial"/>
          <w:color w:val="5F6368"/>
          <w:sz w:val="24"/>
          <w:szCs w:val="24"/>
          <w:lang w:val="en-US"/>
        </w:rPr>
      </w:pPr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>Kadio Jean-Jacques Olivier</w:t>
      </w:r>
      <w:r w:rsidR="0025501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55010"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>Kadio</w:t>
      </w:r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hyperlink r:id="rId5" w:history="1">
        <w:r w:rsidRPr="001F018E">
          <w:rPr>
            <w:rStyle w:val="Hyperlink"/>
            <w:rFonts w:ascii="Arial" w:hAnsi="Arial" w:cs="Arial"/>
            <w:sz w:val="24"/>
            <w:szCs w:val="24"/>
            <w:lang w:val="en-US"/>
          </w:rPr>
          <w:t>olivier.kadio@cerfig.org</w:t>
        </w:r>
      </w:hyperlink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</w:p>
    <w:p w:rsidR="00C24E67" w:rsidRPr="00C24E67" w:rsidRDefault="00C24E67" w:rsidP="00C24E67">
      <w:pPr>
        <w:jc w:val="both"/>
        <w:rPr>
          <w:lang w:val="en-US"/>
        </w:rPr>
      </w:pPr>
    </w:p>
    <w:p w:rsidR="00C24E67" w:rsidRDefault="00C24E67" w:rsidP="00C24E67">
      <w:pPr>
        <w:pStyle w:val="NormalWeb"/>
        <w:jc w:val="both"/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C24E67" w:rsidRDefault="00C24E67" w:rsidP="00C24E67">
      <w:pPr>
        <w:rPr>
          <w:lang w:val="en-US"/>
        </w:rPr>
      </w:pPr>
    </w:p>
    <w:p w:rsidR="0025213F" w:rsidRDefault="0025213F" w:rsidP="00C24E67">
      <w:pPr>
        <w:rPr>
          <w:lang w:val="en-US"/>
        </w:rPr>
      </w:pPr>
    </w:p>
    <w:p w:rsidR="00C24E67" w:rsidRPr="001D16EC" w:rsidRDefault="001D16EC" w:rsidP="00C24E6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Introduction</w:t>
      </w:r>
    </w:p>
    <w:p w:rsidR="00C24E67" w:rsidRPr="00C24E67" w:rsidRDefault="00C24E67" w:rsidP="00C24E67">
      <w:pPr>
        <w:spacing w:line="360" w:lineRule="auto"/>
        <w:jc w:val="both"/>
        <w:rPr>
          <w:rFonts w:ascii="Arial" w:hAnsi="Arial" w:cs="Arial"/>
          <w:lang w:val="en-US"/>
        </w:rPr>
      </w:pPr>
      <w:r w:rsidRPr="00C24E67">
        <w:rPr>
          <w:rFonts w:ascii="Arial" w:hAnsi="Arial" w:cs="Arial"/>
          <w:lang w:val="en-US"/>
        </w:rPr>
        <w:t xml:space="preserve">Cette étude </w:t>
      </w:r>
      <w:proofErr w:type="spellStart"/>
      <w:r w:rsidRPr="00C24E67">
        <w:rPr>
          <w:rFonts w:ascii="Arial" w:hAnsi="Arial" w:cs="Arial"/>
          <w:lang w:val="en-US"/>
        </w:rPr>
        <w:t>visait</w:t>
      </w:r>
      <w:proofErr w:type="spellEnd"/>
      <w:r w:rsidRPr="00C24E67">
        <w:rPr>
          <w:rFonts w:ascii="Arial" w:hAnsi="Arial" w:cs="Arial"/>
          <w:lang w:val="en-US"/>
        </w:rPr>
        <w:t xml:space="preserve"> à </w:t>
      </w:r>
      <w:proofErr w:type="spellStart"/>
      <w:r w:rsidRPr="00C24E67">
        <w:rPr>
          <w:rFonts w:ascii="Arial" w:hAnsi="Arial" w:cs="Arial"/>
          <w:lang w:val="en-US"/>
        </w:rPr>
        <w:t>démontrer</w:t>
      </w:r>
      <w:proofErr w:type="spellEnd"/>
      <w:r w:rsidRPr="00C24E67">
        <w:rPr>
          <w:rFonts w:ascii="Arial" w:hAnsi="Arial" w:cs="Arial"/>
          <w:lang w:val="en-US"/>
        </w:rPr>
        <w:t xml:space="preserve"> que le matériel </w:t>
      </w:r>
      <w:proofErr w:type="spellStart"/>
      <w:r w:rsidRPr="00C24E67">
        <w:rPr>
          <w:rFonts w:ascii="Arial" w:hAnsi="Arial" w:cs="Arial"/>
          <w:lang w:val="en-US"/>
        </w:rPr>
        <w:t>génomique</w:t>
      </w:r>
      <w:proofErr w:type="spellEnd"/>
      <w:r w:rsidRPr="00C24E67">
        <w:rPr>
          <w:rFonts w:ascii="Arial" w:hAnsi="Arial" w:cs="Arial"/>
          <w:lang w:val="en-US"/>
        </w:rPr>
        <w:t xml:space="preserve"> du SARS-CoV-2 </w:t>
      </w:r>
      <w:proofErr w:type="spellStart"/>
      <w:r w:rsidRPr="00C24E67">
        <w:rPr>
          <w:rFonts w:ascii="Arial" w:hAnsi="Arial" w:cs="Arial"/>
          <w:lang w:val="en-US"/>
        </w:rPr>
        <w:t>peut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être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isolé</w:t>
      </w:r>
      <w:proofErr w:type="spellEnd"/>
      <w:r w:rsidRPr="00C24E67">
        <w:rPr>
          <w:rFonts w:ascii="Arial" w:hAnsi="Arial" w:cs="Arial"/>
          <w:lang w:val="en-US"/>
        </w:rPr>
        <w:t xml:space="preserve"> à </w:t>
      </w:r>
      <w:proofErr w:type="spellStart"/>
      <w:r w:rsidRPr="00C24E67">
        <w:rPr>
          <w:rFonts w:ascii="Arial" w:hAnsi="Arial" w:cs="Arial"/>
          <w:lang w:val="en-US"/>
        </w:rPr>
        <w:t>partir</w:t>
      </w:r>
      <w:proofErr w:type="spellEnd"/>
      <w:r w:rsidRPr="00C24E67">
        <w:rPr>
          <w:rFonts w:ascii="Arial" w:hAnsi="Arial" w:cs="Arial"/>
          <w:lang w:val="en-US"/>
        </w:rPr>
        <w:t xml:space="preserve"> de </w:t>
      </w:r>
      <w:proofErr w:type="spellStart"/>
      <w:r w:rsidRPr="00C24E67">
        <w:rPr>
          <w:rFonts w:ascii="Arial" w:hAnsi="Arial" w:cs="Arial"/>
          <w:lang w:val="en-US"/>
        </w:rPr>
        <w:t>bandes</w:t>
      </w:r>
      <w:proofErr w:type="spellEnd"/>
      <w:r w:rsidRPr="00C24E67">
        <w:rPr>
          <w:rFonts w:ascii="Arial" w:hAnsi="Arial" w:cs="Arial"/>
          <w:lang w:val="en-US"/>
        </w:rPr>
        <w:t xml:space="preserve"> de cassettes de test de diagnostic </w:t>
      </w:r>
      <w:proofErr w:type="spellStart"/>
      <w:r w:rsidRPr="00C24E67">
        <w:rPr>
          <w:rFonts w:ascii="Arial" w:hAnsi="Arial" w:cs="Arial"/>
          <w:lang w:val="en-US"/>
        </w:rPr>
        <w:t>rapide</w:t>
      </w:r>
      <w:proofErr w:type="spellEnd"/>
      <w:r w:rsidRPr="00C24E67">
        <w:rPr>
          <w:rFonts w:ascii="Arial" w:hAnsi="Arial" w:cs="Arial"/>
          <w:lang w:val="en-US"/>
        </w:rPr>
        <w:t xml:space="preserve"> COVID-19.</w:t>
      </w:r>
    </w:p>
    <w:p w:rsidR="00C24E67" w:rsidRPr="00C24E67" w:rsidRDefault="00C24E67" w:rsidP="00C24E67">
      <w:pPr>
        <w:spacing w:line="360" w:lineRule="auto"/>
        <w:jc w:val="both"/>
        <w:rPr>
          <w:rFonts w:ascii="Arial" w:hAnsi="Arial" w:cs="Arial"/>
          <w:lang w:val="en-US"/>
        </w:rPr>
      </w:pPr>
    </w:p>
    <w:p w:rsidR="00C24E67" w:rsidRPr="001D16EC" w:rsidRDefault="00C24E67" w:rsidP="00C24E6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D16EC">
        <w:rPr>
          <w:rFonts w:ascii="Arial" w:hAnsi="Arial" w:cs="Arial"/>
          <w:b/>
          <w:bCs/>
          <w:lang w:val="en-US"/>
        </w:rPr>
        <w:t>Méthodes</w:t>
      </w:r>
      <w:proofErr w:type="spellEnd"/>
    </w:p>
    <w:p w:rsidR="001D16EC" w:rsidRDefault="002D5A15" w:rsidP="00C24E67">
      <w:pPr>
        <w:spacing w:line="360" w:lineRule="auto"/>
        <w:jc w:val="both"/>
        <w:rPr>
          <w:rFonts w:ascii="Arial" w:hAnsi="Arial" w:cs="Arial"/>
          <w:lang w:val="en-US"/>
        </w:rPr>
      </w:pPr>
      <w:r w:rsidRPr="002D5A15">
        <w:rPr>
          <w:rFonts w:ascii="Arial" w:hAnsi="Arial" w:cs="Arial"/>
          <w:lang w:val="en-US"/>
        </w:rPr>
        <w:t xml:space="preserve">Il </w:t>
      </w:r>
      <w:proofErr w:type="spellStart"/>
      <w:r w:rsidRPr="002D5A15">
        <w:rPr>
          <w:rFonts w:ascii="Arial" w:hAnsi="Arial" w:cs="Arial"/>
          <w:lang w:val="en-US"/>
        </w:rPr>
        <w:t>s'agissait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d'une</w:t>
      </w:r>
      <w:proofErr w:type="spellEnd"/>
      <w:r w:rsidRPr="002D5A15">
        <w:rPr>
          <w:rFonts w:ascii="Arial" w:hAnsi="Arial" w:cs="Arial"/>
          <w:lang w:val="en-US"/>
        </w:rPr>
        <w:t xml:space="preserve"> étude </w:t>
      </w:r>
      <w:proofErr w:type="spellStart"/>
      <w:r w:rsidRPr="002D5A15">
        <w:rPr>
          <w:rFonts w:ascii="Arial" w:hAnsi="Arial" w:cs="Arial"/>
          <w:lang w:val="en-US"/>
        </w:rPr>
        <w:t>impliquant</w:t>
      </w:r>
      <w:proofErr w:type="spellEnd"/>
      <w:r w:rsidRPr="002D5A15">
        <w:rPr>
          <w:rFonts w:ascii="Arial" w:hAnsi="Arial" w:cs="Arial"/>
          <w:lang w:val="en-US"/>
        </w:rPr>
        <w:t xml:space="preserve"> des patients admis dans des </w:t>
      </w:r>
      <w:proofErr w:type="spellStart"/>
      <w:r w:rsidRPr="002D5A15">
        <w:rPr>
          <w:rFonts w:ascii="Arial" w:hAnsi="Arial" w:cs="Arial"/>
          <w:lang w:val="en-US"/>
        </w:rPr>
        <w:t>centres</w:t>
      </w:r>
      <w:proofErr w:type="spellEnd"/>
      <w:r w:rsidRPr="002D5A15">
        <w:rPr>
          <w:rFonts w:ascii="Arial" w:hAnsi="Arial" w:cs="Arial"/>
          <w:lang w:val="en-US"/>
        </w:rPr>
        <w:t xml:space="preserve"> de </w:t>
      </w:r>
      <w:proofErr w:type="spellStart"/>
      <w:r w:rsidRPr="002D5A15">
        <w:rPr>
          <w:rFonts w:ascii="Arial" w:hAnsi="Arial" w:cs="Arial"/>
          <w:lang w:val="en-US"/>
        </w:rPr>
        <w:t>traitement</w:t>
      </w:r>
      <w:proofErr w:type="spellEnd"/>
      <w:r w:rsidRPr="002D5A15">
        <w:rPr>
          <w:rFonts w:ascii="Arial" w:hAnsi="Arial" w:cs="Arial"/>
          <w:lang w:val="en-US"/>
        </w:rPr>
        <w:t xml:space="preserve"> et des sites </w:t>
      </w:r>
      <w:proofErr w:type="spellStart"/>
      <w:r w:rsidRPr="002D5A15">
        <w:rPr>
          <w:rFonts w:ascii="Arial" w:hAnsi="Arial" w:cs="Arial"/>
          <w:lang w:val="en-US"/>
        </w:rPr>
        <w:t>sentinelles</w:t>
      </w:r>
      <w:proofErr w:type="spellEnd"/>
      <w:r w:rsidRPr="002D5A15">
        <w:rPr>
          <w:rFonts w:ascii="Arial" w:hAnsi="Arial" w:cs="Arial"/>
          <w:lang w:val="en-US"/>
        </w:rPr>
        <w:t xml:space="preserve"> mis </w:t>
      </w:r>
      <w:proofErr w:type="spellStart"/>
      <w:r w:rsidRPr="002D5A15">
        <w:rPr>
          <w:rFonts w:ascii="Arial" w:hAnsi="Arial" w:cs="Arial"/>
          <w:lang w:val="en-US"/>
        </w:rPr>
        <w:t>en</w:t>
      </w:r>
      <w:proofErr w:type="spellEnd"/>
      <w:r w:rsidRPr="002D5A15">
        <w:rPr>
          <w:rFonts w:ascii="Arial" w:hAnsi="Arial" w:cs="Arial"/>
          <w:lang w:val="en-US"/>
        </w:rPr>
        <w:t xml:space="preserve"> place au </w:t>
      </w:r>
      <w:proofErr w:type="spellStart"/>
      <w:r w:rsidRPr="002D5A15">
        <w:rPr>
          <w:rFonts w:ascii="Arial" w:hAnsi="Arial" w:cs="Arial"/>
          <w:lang w:val="en-US"/>
        </w:rPr>
        <w:t>cours</w:t>
      </w:r>
      <w:proofErr w:type="spellEnd"/>
      <w:r w:rsidRPr="002D5A15">
        <w:rPr>
          <w:rFonts w:ascii="Arial" w:hAnsi="Arial" w:cs="Arial"/>
          <w:lang w:val="en-US"/>
        </w:rPr>
        <w:t xml:space="preserve"> du </w:t>
      </w:r>
      <w:proofErr w:type="spellStart"/>
      <w:r w:rsidRPr="002D5A15">
        <w:rPr>
          <w:rFonts w:ascii="Arial" w:hAnsi="Arial" w:cs="Arial"/>
          <w:lang w:val="en-US"/>
        </w:rPr>
        <w:t>projet</w:t>
      </w:r>
      <w:proofErr w:type="spellEnd"/>
      <w:r w:rsidRPr="002D5A15">
        <w:rPr>
          <w:rFonts w:ascii="Arial" w:hAnsi="Arial" w:cs="Arial"/>
          <w:lang w:val="en-US"/>
        </w:rPr>
        <w:t xml:space="preserve"> AFROSCREEN dans la </w:t>
      </w:r>
      <w:proofErr w:type="spellStart"/>
      <w:r w:rsidRPr="002D5A15">
        <w:rPr>
          <w:rFonts w:ascii="Arial" w:hAnsi="Arial" w:cs="Arial"/>
          <w:lang w:val="en-US"/>
        </w:rPr>
        <w:t>ville</w:t>
      </w:r>
      <w:proofErr w:type="spellEnd"/>
      <w:r w:rsidRPr="002D5A15">
        <w:rPr>
          <w:rFonts w:ascii="Arial" w:hAnsi="Arial" w:cs="Arial"/>
          <w:lang w:val="en-US"/>
        </w:rPr>
        <w:t xml:space="preserve"> de Conakry, </w:t>
      </w:r>
      <w:proofErr w:type="spellStart"/>
      <w:r w:rsidRPr="002D5A15">
        <w:rPr>
          <w:rFonts w:ascii="Arial" w:hAnsi="Arial" w:cs="Arial"/>
          <w:lang w:val="en-US"/>
        </w:rPr>
        <w:t>en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Guinée</w:t>
      </w:r>
      <w:proofErr w:type="spellEnd"/>
      <w:r w:rsidRPr="002D5A15">
        <w:rPr>
          <w:rFonts w:ascii="Arial" w:hAnsi="Arial" w:cs="Arial"/>
          <w:lang w:val="en-US"/>
        </w:rPr>
        <w:t xml:space="preserve"> au </w:t>
      </w:r>
      <w:proofErr w:type="spellStart"/>
      <w:r w:rsidRPr="002D5A15">
        <w:rPr>
          <w:rFonts w:ascii="Arial" w:hAnsi="Arial" w:cs="Arial"/>
          <w:lang w:val="en-US"/>
        </w:rPr>
        <w:t>cours</w:t>
      </w:r>
      <w:proofErr w:type="spellEnd"/>
      <w:r w:rsidRPr="002D5A15">
        <w:rPr>
          <w:rFonts w:ascii="Arial" w:hAnsi="Arial" w:cs="Arial"/>
          <w:lang w:val="en-US"/>
        </w:rPr>
        <w:t xml:space="preserve"> de </w:t>
      </w:r>
      <w:proofErr w:type="spellStart"/>
      <w:r w:rsidRPr="002D5A15">
        <w:rPr>
          <w:rFonts w:ascii="Arial" w:hAnsi="Arial" w:cs="Arial"/>
          <w:lang w:val="en-US"/>
        </w:rPr>
        <w:t>l'année</w:t>
      </w:r>
      <w:proofErr w:type="spellEnd"/>
      <w:r w:rsidRPr="002D5A15">
        <w:rPr>
          <w:rFonts w:ascii="Arial" w:hAnsi="Arial" w:cs="Arial"/>
          <w:lang w:val="en-US"/>
        </w:rPr>
        <w:t xml:space="preserve"> 2022. Au total, 121 patients </w:t>
      </w:r>
      <w:proofErr w:type="spellStart"/>
      <w:r w:rsidRPr="002D5A15">
        <w:rPr>
          <w:rFonts w:ascii="Arial" w:hAnsi="Arial" w:cs="Arial"/>
          <w:lang w:val="en-US"/>
        </w:rPr>
        <w:t>ont</w:t>
      </w:r>
      <w:proofErr w:type="spellEnd"/>
      <w:r w:rsidRPr="002D5A15">
        <w:rPr>
          <w:rFonts w:ascii="Arial" w:hAnsi="Arial" w:cs="Arial"/>
          <w:lang w:val="en-US"/>
        </w:rPr>
        <w:t xml:space="preserve"> fait </w:t>
      </w:r>
      <w:proofErr w:type="spellStart"/>
      <w:r w:rsidRPr="002D5A15">
        <w:rPr>
          <w:rFonts w:ascii="Arial" w:hAnsi="Arial" w:cs="Arial"/>
          <w:lang w:val="en-US"/>
        </w:rPr>
        <w:t>l'objet</w:t>
      </w:r>
      <w:proofErr w:type="spellEnd"/>
      <w:r w:rsidRPr="002D5A15">
        <w:rPr>
          <w:rFonts w:ascii="Arial" w:hAnsi="Arial" w:cs="Arial"/>
          <w:lang w:val="en-US"/>
        </w:rPr>
        <w:t xml:space="preserve"> d'un double </w:t>
      </w:r>
      <w:proofErr w:type="spellStart"/>
      <w:r w:rsidRPr="002D5A15">
        <w:rPr>
          <w:rFonts w:ascii="Arial" w:hAnsi="Arial" w:cs="Arial"/>
          <w:lang w:val="en-US"/>
        </w:rPr>
        <w:t>échantillonnage</w:t>
      </w:r>
      <w:proofErr w:type="spellEnd"/>
      <w:r w:rsidRPr="002D5A15">
        <w:rPr>
          <w:rFonts w:ascii="Arial" w:hAnsi="Arial" w:cs="Arial"/>
          <w:lang w:val="en-US"/>
        </w:rPr>
        <w:t xml:space="preserve"> et 9 </w:t>
      </w:r>
      <w:proofErr w:type="spellStart"/>
      <w:r w:rsidRPr="002D5A15">
        <w:rPr>
          <w:rFonts w:ascii="Arial" w:hAnsi="Arial" w:cs="Arial"/>
          <w:lang w:val="en-US"/>
        </w:rPr>
        <w:t>autres</w:t>
      </w:r>
      <w:proofErr w:type="spellEnd"/>
      <w:r w:rsidRPr="002D5A15">
        <w:rPr>
          <w:rFonts w:ascii="Arial" w:hAnsi="Arial" w:cs="Arial"/>
          <w:lang w:val="en-US"/>
        </w:rPr>
        <w:t xml:space="preserve"> patients </w:t>
      </w:r>
      <w:proofErr w:type="spellStart"/>
      <w:r w:rsidRPr="002D5A15">
        <w:rPr>
          <w:rFonts w:ascii="Arial" w:hAnsi="Arial" w:cs="Arial"/>
          <w:lang w:val="en-US"/>
        </w:rPr>
        <w:t>ont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été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testés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uniquement</w:t>
      </w:r>
      <w:proofErr w:type="spellEnd"/>
      <w:r w:rsidRPr="002D5A15">
        <w:rPr>
          <w:rFonts w:ascii="Arial" w:hAnsi="Arial" w:cs="Arial"/>
          <w:lang w:val="en-US"/>
        </w:rPr>
        <w:t xml:space="preserve"> pour le TDR. La PCR a </w:t>
      </w:r>
      <w:proofErr w:type="spellStart"/>
      <w:r w:rsidRPr="002D5A15">
        <w:rPr>
          <w:rFonts w:ascii="Arial" w:hAnsi="Arial" w:cs="Arial"/>
          <w:lang w:val="en-US"/>
        </w:rPr>
        <w:t>été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réalisée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selon</w:t>
      </w:r>
      <w:proofErr w:type="spellEnd"/>
      <w:r w:rsidRPr="002D5A15">
        <w:rPr>
          <w:rFonts w:ascii="Arial" w:hAnsi="Arial" w:cs="Arial"/>
          <w:lang w:val="en-US"/>
        </w:rPr>
        <w:t xml:space="preserve"> le </w:t>
      </w:r>
      <w:proofErr w:type="spellStart"/>
      <w:r w:rsidRPr="002D5A15">
        <w:rPr>
          <w:rFonts w:ascii="Arial" w:hAnsi="Arial" w:cs="Arial"/>
          <w:lang w:val="en-US"/>
        </w:rPr>
        <w:t>protocole</w:t>
      </w:r>
      <w:proofErr w:type="spellEnd"/>
      <w:r w:rsidRPr="002D5A15">
        <w:rPr>
          <w:rFonts w:ascii="Arial" w:hAnsi="Arial" w:cs="Arial"/>
          <w:lang w:val="en-US"/>
        </w:rPr>
        <w:t xml:space="preserve"> du kit </w:t>
      </w:r>
      <w:proofErr w:type="spellStart"/>
      <w:r w:rsidRPr="002D5A15">
        <w:rPr>
          <w:rFonts w:ascii="Arial" w:hAnsi="Arial" w:cs="Arial"/>
          <w:lang w:val="en-US"/>
        </w:rPr>
        <w:t>RunMei</w:t>
      </w:r>
      <w:proofErr w:type="spellEnd"/>
      <w:r w:rsidRPr="002D5A15">
        <w:rPr>
          <w:rFonts w:ascii="Arial" w:hAnsi="Arial" w:cs="Arial"/>
          <w:lang w:val="en-US"/>
        </w:rPr>
        <w:t xml:space="preserve">. Le </w:t>
      </w:r>
      <w:proofErr w:type="spellStart"/>
      <w:r w:rsidRPr="002D5A15">
        <w:rPr>
          <w:rFonts w:ascii="Arial" w:hAnsi="Arial" w:cs="Arial"/>
          <w:lang w:val="en-US"/>
        </w:rPr>
        <w:t>séquençage</w:t>
      </w:r>
      <w:proofErr w:type="spellEnd"/>
      <w:r w:rsidRPr="002D5A15">
        <w:rPr>
          <w:rFonts w:ascii="Arial" w:hAnsi="Arial" w:cs="Arial"/>
          <w:lang w:val="en-US"/>
        </w:rPr>
        <w:t xml:space="preserve"> a </w:t>
      </w:r>
      <w:proofErr w:type="spellStart"/>
      <w:r w:rsidRPr="002D5A15">
        <w:rPr>
          <w:rFonts w:ascii="Arial" w:hAnsi="Arial" w:cs="Arial"/>
          <w:lang w:val="en-US"/>
        </w:rPr>
        <w:t>été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effectué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en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utilisant</w:t>
      </w:r>
      <w:proofErr w:type="spellEnd"/>
      <w:r w:rsidRPr="002D5A15">
        <w:rPr>
          <w:rFonts w:ascii="Arial" w:hAnsi="Arial" w:cs="Arial"/>
          <w:lang w:val="en-US"/>
        </w:rPr>
        <w:t xml:space="preserve"> le </w:t>
      </w:r>
      <w:proofErr w:type="spellStart"/>
      <w:r w:rsidRPr="002D5A15">
        <w:rPr>
          <w:rFonts w:ascii="Arial" w:hAnsi="Arial" w:cs="Arial"/>
          <w:lang w:val="en-US"/>
        </w:rPr>
        <w:t>protocole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illumina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COVIDSeq</w:t>
      </w:r>
      <w:proofErr w:type="spellEnd"/>
      <w:r w:rsidRPr="002D5A15">
        <w:rPr>
          <w:rFonts w:ascii="Arial" w:hAnsi="Arial" w:cs="Arial"/>
          <w:lang w:val="en-US"/>
        </w:rPr>
        <w:t xml:space="preserve">. Neuf TDR COVID-19 sans </w:t>
      </w:r>
      <w:proofErr w:type="spellStart"/>
      <w:r w:rsidRPr="002D5A15">
        <w:rPr>
          <w:rFonts w:ascii="Arial" w:hAnsi="Arial" w:cs="Arial"/>
          <w:lang w:val="en-US"/>
        </w:rPr>
        <w:t>prélèvements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nasopharyngés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ont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également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été</w:t>
      </w:r>
      <w:proofErr w:type="spellEnd"/>
      <w:r w:rsidRPr="002D5A15">
        <w:rPr>
          <w:rFonts w:ascii="Arial" w:hAnsi="Arial" w:cs="Arial"/>
          <w:lang w:val="en-US"/>
        </w:rPr>
        <w:t xml:space="preserve"> </w:t>
      </w:r>
      <w:proofErr w:type="spellStart"/>
      <w:r w:rsidRPr="002D5A15">
        <w:rPr>
          <w:rFonts w:ascii="Arial" w:hAnsi="Arial" w:cs="Arial"/>
          <w:lang w:val="en-US"/>
        </w:rPr>
        <w:t>testés</w:t>
      </w:r>
      <w:proofErr w:type="spellEnd"/>
      <w:r w:rsidRPr="002D5A15">
        <w:rPr>
          <w:rFonts w:ascii="Arial" w:hAnsi="Arial" w:cs="Arial"/>
          <w:lang w:val="en-US"/>
        </w:rPr>
        <w:t>.</w:t>
      </w:r>
    </w:p>
    <w:p w:rsidR="002D5A15" w:rsidRPr="00C24E67" w:rsidRDefault="002D5A15" w:rsidP="00C24E67">
      <w:pPr>
        <w:spacing w:line="360" w:lineRule="auto"/>
        <w:jc w:val="both"/>
        <w:rPr>
          <w:rFonts w:ascii="Arial" w:hAnsi="Arial" w:cs="Arial"/>
          <w:lang w:val="en-US"/>
        </w:rPr>
      </w:pPr>
    </w:p>
    <w:p w:rsidR="001D16EC" w:rsidRPr="001D16EC" w:rsidRDefault="00C24E67" w:rsidP="00C24E6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D16EC">
        <w:rPr>
          <w:rFonts w:ascii="Arial" w:hAnsi="Arial" w:cs="Arial"/>
          <w:b/>
          <w:bCs/>
          <w:lang w:val="en-US"/>
        </w:rPr>
        <w:t>Résultats</w:t>
      </w:r>
      <w:proofErr w:type="spellEnd"/>
    </w:p>
    <w:p w:rsidR="00C24E67" w:rsidRPr="00C24E67" w:rsidRDefault="00C24E67" w:rsidP="00C24E67">
      <w:pPr>
        <w:spacing w:line="360" w:lineRule="auto"/>
        <w:jc w:val="both"/>
        <w:rPr>
          <w:rFonts w:ascii="Arial" w:hAnsi="Arial" w:cs="Arial"/>
          <w:lang w:val="en-US"/>
        </w:rPr>
      </w:pPr>
      <w:r w:rsidRPr="00C24E67">
        <w:rPr>
          <w:rFonts w:ascii="Arial" w:hAnsi="Arial" w:cs="Arial"/>
          <w:lang w:val="en-US"/>
        </w:rPr>
        <w:t xml:space="preserve">Parmi les 130 TDR COVID-19, </w:t>
      </w:r>
      <w:proofErr w:type="spellStart"/>
      <w:r w:rsidRPr="00C24E67">
        <w:rPr>
          <w:rFonts w:ascii="Arial" w:hAnsi="Arial" w:cs="Arial"/>
          <w:lang w:val="en-US"/>
        </w:rPr>
        <w:t>quarante</w:t>
      </w:r>
      <w:proofErr w:type="spellEnd"/>
      <w:r w:rsidRPr="00C24E67">
        <w:rPr>
          <w:rFonts w:ascii="Arial" w:hAnsi="Arial" w:cs="Arial"/>
          <w:lang w:val="en-US"/>
        </w:rPr>
        <w:t>-sept</w:t>
      </w:r>
      <w:r w:rsidR="00937E4B">
        <w:rPr>
          <w:rFonts w:ascii="Arial" w:hAnsi="Arial" w:cs="Arial"/>
          <w:lang w:val="en-US"/>
        </w:rPr>
        <w:t xml:space="preserve"> (47)</w:t>
      </w:r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étaient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macroscopiquement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positifs</w:t>
      </w:r>
      <w:proofErr w:type="spellEnd"/>
      <w:r w:rsidRPr="00C24E67">
        <w:rPr>
          <w:rFonts w:ascii="Arial" w:hAnsi="Arial" w:cs="Arial"/>
          <w:lang w:val="en-US"/>
        </w:rPr>
        <w:t xml:space="preserve">, </w:t>
      </w:r>
      <w:proofErr w:type="spellStart"/>
      <w:r w:rsidRPr="00C24E67">
        <w:rPr>
          <w:rFonts w:ascii="Arial" w:hAnsi="Arial" w:cs="Arial"/>
          <w:lang w:val="en-US"/>
        </w:rPr>
        <w:t>tandis</w:t>
      </w:r>
      <w:proofErr w:type="spellEnd"/>
      <w:r w:rsidRPr="00C24E67">
        <w:rPr>
          <w:rFonts w:ascii="Arial" w:hAnsi="Arial" w:cs="Arial"/>
          <w:lang w:val="en-US"/>
        </w:rPr>
        <w:t xml:space="preserve"> que </w:t>
      </w:r>
      <w:proofErr w:type="spellStart"/>
      <w:r w:rsidRPr="00C24E67">
        <w:rPr>
          <w:rFonts w:ascii="Arial" w:hAnsi="Arial" w:cs="Arial"/>
          <w:lang w:val="en-US"/>
        </w:rPr>
        <w:t>soixante-douze</w:t>
      </w:r>
      <w:proofErr w:type="spellEnd"/>
      <w:r w:rsidR="00937E4B">
        <w:rPr>
          <w:rFonts w:ascii="Arial" w:hAnsi="Arial" w:cs="Arial"/>
          <w:lang w:val="en-US"/>
        </w:rPr>
        <w:t xml:space="preserve"> (72)</w:t>
      </w:r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étaient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positifs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selon</w:t>
      </w:r>
      <w:proofErr w:type="spellEnd"/>
      <w:r w:rsidRPr="00C24E67">
        <w:rPr>
          <w:rFonts w:ascii="Arial" w:hAnsi="Arial" w:cs="Arial"/>
          <w:lang w:val="en-US"/>
        </w:rPr>
        <w:t xml:space="preserve"> la PCR à </w:t>
      </w:r>
      <w:proofErr w:type="spellStart"/>
      <w:r w:rsidRPr="00C24E67">
        <w:rPr>
          <w:rFonts w:ascii="Arial" w:hAnsi="Arial" w:cs="Arial"/>
          <w:lang w:val="en-US"/>
        </w:rPr>
        <w:t>l'aide</w:t>
      </w:r>
      <w:proofErr w:type="spellEnd"/>
      <w:r w:rsidRPr="00C24E67">
        <w:rPr>
          <w:rFonts w:ascii="Arial" w:hAnsi="Arial" w:cs="Arial"/>
          <w:lang w:val="en-US"/>
        </w:rPr>
        <w:t xml:space="preserve"> de la bandelette TDR, </w:t>
      </w:r>
      <w:proofErr w:type="spellStart"/>
      <w:r w:rsidRPr="00C24E67">
        <w:rPr>
          <w:rFonts w:ascii="Arial" w:hAnsi="Arial" w:cs="Arial"/>
          <w:lang w:val="en-US"/>
        </w:rPr>
        <w:t>tandis</w:t>
      </w:r>
      <w:proofErr w:type="spellEnd"/>
      <w:r w:rsidRPr="00C24E67">
        <w:rPr>
          <w:rFonts w:ascii="Arial" w:hAnsi="Arial" w:cs="Arial"/>
          <w:lang w:val="en-US"/>
        </w:rPr>
        <w:t xml:space="preserve"> que </w:t>
      </w:r>
      <w:proofErr w:type="spellStart"/>
      <w:r w:rsidRPr="00C24E67">
        <w:rPr>
          <w:rFonts w:ascii="Arial" w:hAnsi="Arial" w:cs="Arial"/>
          <w:lang w:val="en-US"/>
        </w:rPr>
        <w:t>parmi</w:t>
      </w:r>
      <w:proofErr w:type="spellEnd"/>
      <w:r w:rsidRPr="00C24E67">
        <w:rPr>
          <w:rFonts w:ascii="Arial" w:hAnsi="Arial" w:cs="Arial"/>
          <w:lang w:val="en-US"/>
        </w:rPr>
        <w:t xml:space="preserve"> les 121 </w:t>
      </w:r>
      <w:proofErr w:type="spellStart"/>
      <w:r w:rsidRPr="00C24E67">
        <w:rPr>
          <w:rFonts w:ascii="Arial" w:hAnsi="Arial" w:cs="Arial"/>
          <w:lang w:val="en-US"/>
        </w:rPr>
        <w:t>écouvillons</w:t>
      </w:r>
      <w:proofErr w:type="spellEnd"/>
      <w:r w:rsidRPr="00C24E67">
        <w:rPr>
          <w:rFonts w:ascii="Arial" w:hAnsi="Arial" w:cs="Arial"/>
          <w:lang w:val="en-US"/>
        </w:rPr>
        <w:t xml:space="preserve"> VTM, </w:t>
      </w:r>
      <w:proofErr w:type="spellStart"/>
      <w:r w:rsidRPr="00C24E67">
        <w:rPr>
          <w:rFonts w:ascii="Arial" w:hAnsi="Arial" w:cs="Arial"/>
          <w:lang w:val="en-US"/>
        </w:rPr>
        <w:t>soixante</w:t>
      </w:r>
      <w:proofErr w:type="spellEnd"/>
      <w:r w:rsidRPr="00C24E67">
        <w:rPr>
          <w:rFonts w:ascii="Arial" w:hAnsi="Arial" w:cs="Arial"/>
          <w:lang w:val="en-US"/>
        </w:rPr>
        <w:t xml:space="preserve">-quatre </w:t>
      </w:r>
      <w:proofErr w:type="spellStart"/>
      <w:r w:rsidRPr="00C24E67">
        <w:rPr>
          <w:rFonts w:ascii="Arial" w:hAnsi="Arial" w:cs="Arial"/>
          <w:lang w:val="en-US"/>
        </w:rPr>
        <w:t>étaient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positifs</w:t>
      </w:r>
      <w:proofErr w:type="spellEnd"/>
      <w:r w:rsidRPr="00C24E67">
        <w:rPr>
          <w:rFonts w:ascii="Arial" w:hAnsi="Arial" w:cs="Arial"/>
          <w:lang w:val="en-US"/>
        </w:rPr>
        <w:t>. Parmi les quatre-</w:t>
      </w:r>
      <w:proofErr w:type="spellStart"/>
      <w:r w:rsidRPr="00C24E67">
        <w:rPr>
          <w:rFonts w:ascii="Arial" w:hAnsi="Arial" w:cs="Arial"/>
          <w:lang w:val="en-US"/>
        </w:rPr>
        <w:t>vingt</w:t>
      </w:r>
      <w:proofErr w:type="spellEnd"/>
      <w:r w:rsidRPr="00C24E67">
        <w:rPr>
          <w:rFonts w:ascii="Arial" w:hAnsi="Arial" w:cs="Arial"/>
          <w:lang w:val="en-US"/>
        </w:rPr>
        <w:t xml:space="preserve">-trois COVID-19 RDT </w:t>
      </w:r>
      <w:proofErr w:type="spellStart"/>
      <w:r w:rsidRPr="00C24E67">
        <w:rPr>
          <w:rFonts w:ascii="Arial" w:hAnsi="Arial" w:cs="Arial"/>
          <w:lang w:val="en-US"/>
        </w:rPr>
        <w:t>négatifs</w:t>
      </w:r>
      <w:proofErr w:type="spellEnd"/>
      <w:r w:rsidRPr="00C24E67">
        <w:rPr>
          <w:rFonts w:ascii="Arial" w:hAnsi="Arial" w:cs="Arial"/>
          <w:lang w:val="en-US"/>
        </w:rPr>
        <w:t xml:space="preserve">, </w:t>
      </w:r>
      <w:proofErr w:type="spellStart"/>
      <w:r w:rsidRPr="00C24E67">
        <w:rPr>
          <w:rFonts w:ascii="Arial" w:hAnsi="Arial" w:cs="Arial"/>
          <w:lang w:val="en-US"/>
        </w:rPr>
        <w:t>vingt</w:t>
      </w:r>
      <w:proofErr w:type="spellEnd"/>
      <w:r w:rsidRPr="00C24E67">
        <w:rPr>
          <w:rFonts w:ascii="Arial" w:hAnsi="Arial" w:cs="Arial"/>
          <w:lang w:val="en-US"/>
        </w:rPr>
        <w:t xml:space="preserve">-sept </w:t>
      </w:r>
      <w:proofErr w:type="spellStart"/>
      <w:r w:rsidRPr="00C24E67">
        <w:rPr>
          <w:rFonts w:ascii="Arial" w:hAnsi="Arial" w:cs="Arial"/>
          <w:lang w:val="en-US"/>
        </w:rPr>
        <w:t>étaient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positifs</w:t>
      </w:r>
      <w:proofErr w:type="spellEnd"/>
      <w:r w:rsidRPr="00C24E67">
        <w:rPr>
          <w:rFonts w:ascii="Arial" w:hAnsi="Arial" w:cs="Arial"/>
          <w:lang w:val="en-US"/>
        </w:rPr>
        <w:t xml:space="preserve"> par PCR </w:t>
      </w:r>
      <w:proofErr w:type="spellStart"/>
      <w:r w:rsidRPr="00C24E67">
        <w:rPr>
          <w:rFonts w:ascii="Arial" w:hAnsi="Arial" w:cs="Arial"/>
          <w:lang w:val="en-US"/>
        </w:rPr>
        <w:t>utilisant</w:t>
      </w:r>
      <w:proofErr w:type="spellEnd"/>
      <w:r w:rsidRPr="00C24E67">
        <w:rPr>
          <w:rFonts w:ascii="Arial" w:hAnsi="Arial" w:cs="Arial"/>
          <w:lang w:val="en-US"/>
        </w:rPr>
        <w:t xml:space="preserve"> la </w:t>
      </w:r>
      <w:proofErr w:type="spellStart"/>
      <w:r w:rsidRPr="00C24E67">
        <w:rPr>
          <w:rFonts w:ascii="Arial" w:hAnsi="Arial" w:cs="Arial"/>
          <w:lang w:val="en-US"/>
        </w:rPr>
        <w:t>bande</w:t>
      </w:r>
      <w:proofErr w:type="spellEnd"/>
      <w:r w:rsidRPr="00C24E67">
        <w:rPr>
          <w:rFonts w:ascii="Arial" w:hAnsi="Arial" w:cs="Arial"/>
          <w:lang w:val="en-US"/>
        </w:rPr>
        <w:t xml:space="preserve"> RDT avec </w:t>
      </w:r>
      <w:proofErr w:type="spellStart"/>
      <w:r w:rsidRPr="00C24E67">
        <w:rPr>
          <w:rFonts w:ascii="Arial" w:hAnsi="Arial" w:cs="Arial"/>
          <w:lang w:val="en-US"/>
        </w:rPr>
        <w:t>une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moyenne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géométrique</w:t>
      </w:r>
      <w:proofErr w:type="spellEnd"/>
      <w:r w:rsidRPr="00C24E67">
        <w:rPr>
          <w:rFonts w:ascii="Arial" w:hAnsi="Arial" w:cs="Arial"/>
          <w:lang w:val="en-US"/>
        </w:rPr>
        <w:t xml:space="preserve"> de la </w:t>
      </w:r>
      <w:proofErr w:type="spellStart"/>
      <w:r w:rsidRPr="00C24E67">
        <w:rPr>
          <w:rFonts w:ascii="Arial" w:hAnsi="Arial" w:cs="Arial"/>
          <w:lang w:val="en-US"/>
        </w:rPr>
        <w:t>valeur</w:t>
      </w:r>
      <w:proofErr w:type="spellEnd"/>
      <w:r w:rsidRPr="00C24E67">
        <w:rPr>
          <w:rFonts w:ascii="Arial" w:hAnsi="Arial" w:cs="Arial"/>
          <w:lang w:val="en-US"/>
        </w:rPr>
        <w:t xml:space="preserve"> Ct de 32,49 cycles. </w:t>
      </w:r>
      <w:proofErr w:type="spellStart"/>
      <w:r w:rsidRPr="00C24E67">
        <w:rPr>
          <w:rFonts w:ascii="Arial" w:hAnsi="Arial" w:cs="Arial"/>
          <w:lang w:val="en-US"/>
        </w:rPr>
        <w:t>Comparées</w:t>
      </w:r>
      <w:proofErr w:type="spellEnd"/>
      <w:r w:rsidRPr="00C24E67">
        <w:rPr>
          <w:rFonts w:ascii="Arial" w:hAnsi="Arial" w:cs="Arial"/>
          <w:lang w:val="en-US"/>
        </w:rPr>
        <w:t xml:space="preserve"> à </w:t>
      </w:r>
      <w:proofErr w:type="spellStart"/>
      <w:r w:rsidRPr="00C24E67">
        <w:rPr>
          <w:rFonts w:ascii="Arial" w:hAnsi="Arial" w:cs="Arial"/>
          <w:lang w:val="en-US"/>
        </w:rPr>
        <w:t>celles</w:t>
      </w:r>
      <w:proofErr w:type="spellEnd"/>
      <w:r w:rsidRPr="00C24E67">
        <w:rPr>
          <w:rFonts w:ascii="Arial" w:hAnsi="Arial" w:cs="Arial"/>
          <w:lang w:val="en-US"/>
        </w:rPr>
        <w:t xml:space="preserve"> de la PCR </w:t>
      </w:r>
      <w:proofErr w:type="spellStart"/>
      <w:r w:rsidRPr="00C24E67">
        <w:rPr>
          <w:rFonts w:ascii="Arial" w:hAnsi="Arial" w:cs="Arial"/>
          <w:lang w:val="en-US"/>
        </w:rPr>
        <w:t>utilisant</w:t>
      </w:r>
      <w:proofErr w:type="spellEnd"/>
      <w:r w:rsidRPr="00C24E67">
        <w:rPr>
          <w:rFonts w:ascii="Arial" w:hAnsi="Arial" w:cs="Arial"/>
          <w:lang w:val="en-US"/>
        </w:rPr>
        <w:t xml:space="preserve"> le VTM, la </w:t>
      </w:r>
      <w:proofErr w:type="spellStart"/>
      <w:r w:rsidRPr="00C24E67">
        <w:rPr>
          <w:rFonts w:ascii="Arial" w:hAnsi="Arial" w:cs="Arial"/>
          <w:lang w:val="en-US"/>
        </w:rPr>
        <w:t>sensibilité</w:t>
      </w:r>
      <w:proofErr w:type="spellEnd"/>
      <w:r w:rsidRPr="00C24E67">
        <w:rPr>
          <w:rFonts w:ascii="Arial" w:hAnsi="Arial" w:cs="Arial"/>
          <w:lang w:val="en-US"/>
        </w:rPr>
        <w:t xml:space="preserve"> et la </w:t>
      </w:r>
      <w:proofErr w:type="spellStart"/>
      <w:r w:rsidRPr="00C24E67">
        <w:rPr>
          <w:rFonts w:ascii="Arial" w:hAnsi="Arial" w:cs="Arial"/>
          <w:lang w:val="en-US"/>
        </w:rPr>
        <w:t>spécificité</w:t>
      </w:r>
      <w:proofErr w:type="spellEnd"/>
      <w:r w:rsidRPr="00C24E67">
        <w:rPr>
          <w:rFonts w:ascii="Arial" w:hAnsi="Arial" w:cs="Arial"/>
          <w:lang w:val="en-US"/>
        </w:rPr>
        <w:t xml:space="preserve"> de la PCR </w:t>
      </w:r>
      <w:proofErr w:type="spellStart"/>
      <w:r w:rsidRPr="00C24E67">
        <w:rPr>
          <w:rFonts w:ascii="Arial" w:hAnsi="Arial" w:cs="Arial"/>
          <w:lang w:val="en-US"/>
        </w:rPr>
        <w:t>utilisant</w:t>
      </w:r>
      <w:proofErr w:type="spellEnd"/>
      <w:r w:rsidRPr="00C24E67">
        <w:rPr>
          <w:rFonts w:ascii="Arial" w:hAnsi="Arial" w:cs="Arial"/>
          <w:lang w:val="en-US"/>
        </w:rPr>
        <w:t xml:space="preserve"> la </w:t>
      </w:r>
      <w:proofErr w:type="spellStart"/>
      <w:r w:rsidRPr="00C24E67">
        <w:rPr>
          <w:rFonts w:ascii="Arial" w:hAnsi="Arial" w:cs="Arial"/>
          <w:lang w:val="en-US"/>
        </w:rPr>
        <w:t>bande</w:t>
      </w:r>
      <w:proofErr w:type="spellEnd"/>
      <w:r w:rsidRPr="00C24E67">
        <w:rPr>
          <w:rFonts w:ascii="Arial" w:hAnsi="Arial" w:cs="Arial"/>
          <w:lang w:val="en-US"/>
        </w:rPr>
        <w:t xml:space="preserve"> RDT </w:t>
      </w:r>
      <w:proofErr w:type="spellStart"/>
      <w:r w:rsidRPr="00C24E67">
        <w:rPr>
          <w:rFonts w:ascii="Arial" w:hAnsi="Arial" w:cs="Arial"/>
          <w:lang w:val="en-US"/>
        </w:rPr>
        <w:t>ont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été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estimées</w:t>
      </w:r>
      <w:proofErr w:type="spellEnd"/>
      <w:r w:rsidRPr="00C24E67">
        <w:rPr>
          <w:rFonts w:ascii="Arial" w:hAnsi="Arial" w:cs="Arial"/>
          <w:lang w:val="en-US"/>
        </w:rPr>
        <w:t xml:space="preserve"> à 100 % et 85,96 %, </w:t>
      </w:r>
      <w:proofErr w:type="spellStart"/>
      <w:r w:rsidRPr="00C24E67">
        <w:rPr>
          <w:rFonts w:ascii="Arial" w:hAnsi="Arial" w:cs="Arial"/>
          <w:lang w:val="en-US"/>
        </w:rPr>
        <w:t>respectivement</w:t>
      </w:r>
      <w:proofErr w:type="spellEnd"/>
      <w:r w:rsidRPr="00C24E67">
        <w:rPr>
          <w:rFonts w:ascii="Arial" w:hAnsi="Arial" w:cs="Arial"/>
          <w:lang w:val="en-US"/>
        </w:rPr>
        <w:t xml:space="preserve">, avec </w:t>
      </w:r>
      <w:proofErr w:type="spellStart"/>
      <w:r w:rsidRPr="00C24E67">
        <w:rPr>
          <w:rFonts w:ascii="Arial" w:hAnsi="Arial" w:cs="Arial"/>
          <w:lang w:val="en-US"/>
        </w:rPr>
        <w:t>une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précision</w:t>
      </w:r>
      <w:proofErr w:type="spellEnd"/>
      <w:r w:rsidRPr="00C24E67">
        <w:rPr>
          <w:rFonts w:ascii="Arial" w:hAnsi="Arial" w:cs="Arial"/>
          <w:lang w:val="en-US"/>
        </w:rPr>
        <w:t xml:space="preserve"> de test de 93,39 %. Parmi les quinze extraits COVID-19 RDT </w:t>
      </w:r>
      <w:proofErr w:type="spellStart"/>
      <w:r w:rsidRPr="00C24E67">
        <w:rPr>
          <w:rFonts w:ascii="Arial" w:hAnsi="Arial" w:cs="Arial"/>
          <w:lang w:val="en-US"/>
        </w:rPr>
        <w:t>éligibles</w:t>
      </w:r>
      <w:proofErr w:type="spellEnd"/>
      <w:r w:rsidRPr="00C24E67">
        <w:rPr>
          <w:rFonts w:ascii="Arial" w:hAnsi="Arial" w:cs="Arial"/>
          <w:lang w:val="en-US"/>
        </w:rPr>
        <w:t xml:space="preserve"> pour le </w:t>
      </w:r>
      <w:proofErr w:type="spellStart"/>
      <w:r w:rsidRPr="00C24E67">
        <w:rPr>
          <w:rFonts w:ascii="Arial" w:hAnsi="Arial" w:cs="Arial"/>
          <w:lang w:val="en-US"/>
        </w:rPr>
        <w:t>séquençage</w:t>
      </w:r>
      <w:proofErr w:type="spellEnd"/>
      <w:r w:rsidRPr="00C24E67">
        <w:rPr>
          <w:rFonts w:ascii="Arial" w:hAnsi="Arial" w:cs="Arial"/>
          <w:lang w:val="en-US"/>
        </w:rPr>
        <w:t xml:space="preserve">, </w:t>
      </w:r>
      <w:proofErr w:type="spellStart"/>
      <w:r w:rsidRPr="00C24E67">
        <w:rPr>
          <w:rFonts w:ascii="Arial" w:hAnsi="Arial" w:cs="Arial"/>
          <w:lang w:val="en-US"/>
        </w:rPr>
        <w:t>onze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présentaient</w:t>
      </w:r>
      <w:proofErr w:type="spellEnd"/>
      <w:r w:rsidRPr="00C24E67">
        <w:rPr>
          <w:rFonts w:ascii="Arial" w:hAnsi="Arial" w:cs="Arial"/>
          <w:lang w:val="en-US"/>
        </w:rPr>
        <w:t xml:space="preserve"> des </w:t>
      </w:r>
      <w:proofErr w:type="spellStart"/>
      <w:r w:rsidRPr="00C24E67">
        <w:rPr>
          <w:rFonts w:ascii="Arial" w:hAnsi="Arial" w:cs="Arial"/>
          <w:lang w:val="en-US"/>
        </w:rPr>
        <w:t>séquences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identiques</w:t>
      </w:r>
      <w:proofErr w:type="spellEnd"/>
      <w:r w:rsidRPr="00C24E67">
        <w:rPr>
          <w:rFonts w:ascii="Arial" w:hAnsi="Arial" w:cs="Arial"/>
          <w:lang w:val="en-US"/>
        </w:rPr>
        <w:t xml:space="preserve"> à </w:t>
      </w:r>
      <w:proofErr w:type="spellStart"/>
      <w:r w:rsidRPr="00C24E67">
        <w:rPr>
          <w:rFonts w:ascii="Arial" w:hAnsi="Arial" w:cs="Arial"/>
          <w:lang w:val="en-US"/>
        </w:rPr>
        <w:t>celles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obtenues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par</w:t>
      </w:r>
      <w:proofErr w:type="spellEnd"/>
      <w:r w:rsidRPr="00C24E67">
        <w:rPr>
          <w:rFonts w:ascii="Arial" w:hAnsi="Arial" w:cs="Arial"/>
          <w:lang w:val="en-US"/>
        </w:rPr>
        <w:t xml:space="preserve"> la </w:t>
      </w:r>
      <w:proofErr w:type="spellStart"/>
      <w:r w:rsidRPr="00C24E67">
        <w:rPr>
          <w:rFonts w:ascii="Arial" w:hAnsi="Arial" w:cs="Arial"/>
          <w:lang w:val="en-US"/>
        </w:rPr>
        <w:t>méthode</w:t>
      </w:r>
      <w:proofErr w:type="spellEnd"/>
      <w:r w:rsidRPr="00C24E67">
        <w:rPr>
          <w:rFonts w:ascii="Arial" w:hAnsi="Arial" w:cs="Arial"/>
          <w:lang w:val="en-US"/>
        </w:rPr>
        <w:t xml:space="preserve"> standard, avec </w:t>
      </w:r>
      <w:proofErr w:type="spellStart"/>
      <w:r w:rsidRPr="00C24E67">
        <w:rPr>
          <w:rFonts w:ascii="Arial" w:hAnsi="Arial" w:cs="Arial"/>
          <w:lang w:val="en-US"/>
        </w:rPr>
        <w:t>une</w:t>
      </w:r>
      <w:proofErr w:type="spellEnd"/>
      <w:r w:rsidRPr="00C24E67">
        <w:rPr>
          <w:rFonts w:ascii="Arial" w:hAnsi="Arial" w:cs="Arial"/>
          <w:lang w:val="en-US"/>
        </w:rPr>
        <w:t xml:space="preserve"> couverture comprise entre 75 et 99,6 %.</w:t>
      </w:r>
    </w:p>
    <w:p w:rsidR="00C24E67" w:rsidRPr="00C24E67" w:rsidRDefault="00C24E67" w:rsidP="00C24E67">
      <w:pPr>
        <w:spacing w:line="360" w:lineRule="auto"/>
        <w:jc w:val="both"/>
        <w:rPr>
          <w:rFonts w:ascii="Arial" w:hAnsi="Arial" w:cs="Arial"/>
          <w:lang w:val="en-US"/>
        </w:rPr>
      </w:pPr>
    </w:p>
    <w:p w:rsidR="001D16EC" w:rsidRPr="001D16EC" w:rsidRDefault="00C24E67" w:rsidP="00C24E6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D16EC">
        <w:rPr>
          <w:rFonts w:ascii="Arial" w:hAnsi="Arial" w:cs="Arial"/>
          <w:b/>
          <w:bCs/>
          <w:lang w:val="en-US"/>
        </w:rPr>
        <w:t>Conclusion</w:t>
      </w:r>
    </w:p>
    <w:p w:rsidR="00C24E67" w:rsidRPr="00C24E67" w:rsidRDefault="00C24E67" w:rsidP="00C24E6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C24E67">
        <w:rPr>
          <w:rFonts w:ascii="Arial" w:hAnsi="Arial" w:cs="Arial"/>
          <w:lang w:val="en-US"/>
        </w:rPr>
        <w:t>Ces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résultats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montrent</w:t>
      </w:r>
      <w:proofErr w:type="spellEnd"/>
      <w:r w:rsidRPr="00C24E67">
        <w:rPr>
          <w:rFonts w:ascii="Arial" w:hAnsi="Arial" w:cs="Arial"/>
          <w:lang w:val="en-US"/>
        </w:rPr>
        <w:t xml:space="preserve"> que les COVID-19 RDT </w:t>
      </w:r>
      <w:proofErr w:type="spellStart"/>
      <w:r w:rsidRPr="00C24E67">
        <w:rPr>
          <w:rFonts w:ascii="Arial" w:hAnsi="Arial" w:cs="Arial"/>
          <w:lang w:val="en-US"/>
        </w:rPr>
        <w:t>peuvent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être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utilisés</w:t>
      </w:r>
      <w:proofErr w:type="spellEnd"/>
      <w:r w:rsidRPr="00C24E67">
        <w:rPr>
          <w:rFonts w:ascii="Arial" w:hAnsi="Arial" w:cs="Arial"/>
          <w:lang w:val="en-US"/>
        </w:rPr>
        <w:t xml:space="preserve"> </w:t>
      </w:r>
      <w:proofErr w:type="spellStart"/>
      <w:r w:rsidRPr="00C24E67">
        <w:rPr>
          <w:rFonts w:ascii="Arial" w:hAnsi="Arial" w:cs="Arial"/>
          <w:lang w:val="en-US"/>
        </w:rPr>
        <w:t>comme</w:t>
      </w:r>
      <w:proofErr w:type="spellEnd"/>
      <w:r w:rsidRPr="00C24E67">
        <w:rPr>
          <w:rFonts w:ascii="Arial" w:hAnsi="Arial" w:cs="Arial"/>
          <w:lang w:val="en-US"/>
        </w:rPr>
        <w:t xml:space="preserve"> matériel </w:t>
      </w:r>
      <w:proofErr w:type="spellStart"/>
      <w:r w:rsidRPr="00C24E67">
        <w:rPr>
          <w:rFonts w:ascii="Arial" w:hAnsi="Arial" w:cs="Arial"/>
          <w:lang w:val="en-US"/>
        </w:rPr>
        <w:t>biologique</w:t>
      </w:r>
      <w:proofErr w:type="spellEnd"/>
      <w:r w:rsidRPr="00C24E67">
        <w:rPr>
          <w:rFonts w:ascii="Arial" w:hAnsi="Arial" w:cs="Arial"/>
          <w:lang w:val="en-US"/>
        </w:rPr>
        <w:t xml:space="preserve"> pour la surveillance </w:t>
      </w:r>
      <w:proofErr w:type="spellStart"/>
      <w:r w:rsidRPr="00C24E67">
        <w:rPr>
          <w:rFonts w:ascii="Arial" w:hAnsi="Arial" w:cs="Arial"/>
          <w:lang w:val="en-US"/>
        </w:rPr>
        <w:t>génomique</w:t>
      </w:r>
      <w:proofErr w:type="spellEnd"/>
      <w:r w:rsidRPr="00C24E67">
        <w:rPr>
          <w:rFonts w:ascii="Arial" w:hAnsi="Arial" w:cs="Arial"/>
          <w:lang w:val="en-US"/>
        </w:rPr>
        <w:t xml:space="preserve"> du SARS-CoV-2.</w:t>
      </w:r>
    </w:p>
    <w:p w:rsidR="00312F0F" w:rsidRPr="00937E4B" w:rsidRDefault="00937E4B" w:rsidP="00937E4B">
      <w:pPr>
        <w:pStyle w:val="NormalWeb"/>
        <w:rPr>
          <w:rFonts w:ascii="Arial" w:hAnsi="Arial" w:cs="Arial"/>
          <w:color w:val="000000"/>
        </w:rPr>
      </w:pPr>
      <w:r w:rsidRPr="00937E4B">
        <w:rPr>
          <w:rFonts w:ascii="Arial" w:hAnsi="Arial" w:cs="Arial"/>
          <w:b/>
          <w:bCs/>
        </w:rPr>
        <w:t>Mots cl</w:t>
      </w:r>
      <w:r w:rsidRPr="00937E4B">
        <w:rPr>
          <w:rFonts w:ascii="Arial" w:hAnsi="Arial" w:cs="Arial"/>
          <w:b/>
          <w:bCs/>
          <w:lang w:val="en-US"/>
        </w:rPr>
        <w:t>é</w:t>
      </w:r>
      <w:r w:rsidRPr="00937E4B">
        <w:rPr>
          <w:rFonts w:ascii="Arial" w:hAnsi="Arial" w:cs="Arial"/>
          <w:b/>
          <w:bCs/>
        </w:rPr>
        <w:t>s</w:t>
      </w:r>
      <w:r w:rsidRPr="00937E4B">
        <w:rPr>
          <w:rFonts w:ascii="Arial" w:hAnsi="Arial" w:cs="Arial"/>
        </w:rPr>
        <w:t xml:space="preserve"> : </w:t>
      </w:r>
      <w:r w:rsidRPr="00937E4B">
        <w:rPr>
          <w:rFonts w:ascii="Arial" w:hAnsi="Arial" w:cs="Arial"/>
          <w:color w:val="000000"/>
        </w:rPr>
        <w:t>COVID-19 RDT, Diagnostic moléculaire, Surveillance génomique</w:t>
      </w:r>
    </w:p>
    <w:sectPr w:rsidR="00312F0F" w:rsidRPr="00937E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165"/>
    <w:multiLevelType w:val="multilevel"/>
    <w:tmpl w:val="37D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94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7"/>
    <w:rsid w:val="000C1AAB"/>
    <w:rsid w:val="00170E4B"/>
    <w:rsid w:val="001D16EC"/>
    <w:rsid w:val="0025213F"/>
    <w:rsid w:val="00255010"/>
    <w:rsid w:val="002D5A15"/>
    <w:rsid w:val="00312F0F"/>
    <w:rsid w:val="00426ABF"/>
    <w:rsid w:val="004B429E"/>
    <w:rsid w:val="004B4642"/>
    <w:rsid w:val="00740172"/>
    <w:rsid w:val="00741492"/>
    <w:rsid w:val="00937E4B"/>
    <w:rsid w:val="00C24E67"/>
    <w:rsid w:val="00C323FC"/>
    <w:rsid w:val="00DB4B41"/>
    <w:rsid w:val="00DD2C52"/>
    <w:rsid w:val="00F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ECF745"/>
  <w15:chartTrackingRefBased/>
  <w15:docId w15:val="{EA2ACC98-B718-904A-9CA0-1D03BF0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E6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24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vier.kadio@cerfi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KADJO</dc:creator>
  <cp:keywords/>
  <dc:description/>
  <cp:lastModifiedBy>Dr KADJO</cp:lastModifiedBy>
  <cp:revision>15</cp:revision>
  <dcterms:created xsi:type="dcterms:W3CDTF">2025-06-30T19:03:00Z</dcterms:created>
  <dcterms:modified xsi:type="dcterms:W3CDTF">2025-06-30T19:57:00Z</dcterms:modified>
</cp:coreProperties>
</file>