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1F4DD" w14:textId="3729F7C9" w:rsidR="007D1A32" w:rsidRPr="00BF0354" w:rsidRDefault="00E222A7" w:rsidP="00BF0354">
      <w:pPr>
        <w:spacing w:line="276" w:lineRule="auto"/>
        <w:jc w:val="both"/>
        <w:rPr>
          <w:b/>
          <w:bCs/>
          <w:sz w:val="22"/>
          <w:szCs w:val="22"/>
          <w:lang w:val="fr-FR"/>
        </w:rPr>
      </w:pPr>
      <w:r>
        <w:rPr>
          <w:b/>
          <w:bCs/>
          <w:sz w:val="22"/>
          <w:szCs w:val="22"/>
          <w:lang w:val="fr-FR"/>
        </w:rPr>
        <w:t>C</w:t>
      </w:r>
      <w:r w:rsidRPr="00E222A7">
        <w:rPr>
          <w:b/>
          <w:bCs/>
          <w:sz w:val="22"/>
          <w:szCs w:val="22"/>
          <w:lang w:val="fr-FR"/>
        </w:rPr>
        <w:t xml:space="preserve">onsommation et </w:t>
      </w:r>
      <w:r>
        <w:rPr>
          <w:b/>
          <w:bCs/>
          <w:sz w:val="22"/>
          <w:szCs w:val="22"/>
          <w:lang w:val="fr-FR"/>
        </w:rPr>
        <w:t>E</w:t>
      </w:r>
      <w:r w:rsidRPr="00E222A7">
        <w:rPr>
          <w:b/>
          <w:bCs/>
          <w:sz w:val="22"/>
          <w:szCs w:val="22"/>
          <w:lang w:val="fr-FR"/>
        </w:rPr>
        <w:t xml:space="preserve">xposition aux </w:t>
      </w:r>
      <w:r>
        <w:rPr>
          <w:b/>
          <w:bCs/>
          <w:sz w:val="22"/>
          <w:szCs w:val="22"/>
          <w:lang w:val="fr-FR"/>
        </w:rPr>
        <w:t>P</w:t>
      </w:r>
      <w:r w:rsidRPr="00E222A7">
        <w:rPr>
          <w:b/>
          <w:bCs/>
          <w:sz w:val="22"/>
          <w:szCs w:val="22"/>
          <w:lang w:val="fr-FR"/>
        </w:rPr>
        <w:t xml:space="preserve">ratiques </w:t>
      </w:r>
      <w:r>
        <w:rPr>
          <w:b/>
          <w:bCs/>
          <w:sz w:val="22"/>
          <w:szCs w:val="22"/>
          <w:lang w:val="fr-FR"/>
        </w:rPr>
        <w:t>C</w:t>
      </w:r>
      <w:r w:rsidRPr="00E222A7">
        <w:rPr>
          <w:b/>
          <w:bCs/>
          <w:sz w:val="22"/>
          <w:szCs w:val="22"/>
          <w:lang w:val="fr-FR"/>
        </w:rPr>
        <w:t>ommerciales</w:t>
      </w:r>
      <w:r w:rsidR="003D360D">
        <w:rPr>
          <w:b/>
          <w:bCs/>
          <w:sz w:val="22"/>
          <w:szCs w:val="22"/>
          <w:lang w:val="fr-FR"/>
        </w:rPr>
        <w:t xml:space="preserve"> des Produits Manufacturés </w:t>
      </w:r>
    </w:p>
    <w:p w14:paraId="5CEFA96B" w14:textId="62BC0998" w:rsidR="00D74368" w:rsidRPr="006729EB" w:rsidRDefault="00D74368" w:rsidP="00BF0354">
      <w:pPr>
        <w:spacing w:after="0" w:line="276" w:lineRule="auto"/>
        <w:jc w:val="both"/>
        <w:rPr>
          <w:rFonts w:ascii="Arial" w:hAnsi="Arial" w:cs="Arial"/>
          <w:sz w:val="20"/>
          <w:szCs w:val="20"/>
          <w:vertAlign w:val="superscript"/>
          <w:lang w:val="fr-FR"/>
        </w:rPr>
      </w:pPr>
      <w:r w:rsidRPr="006729EB">
        <w:rPr>
          <w:rFonts w:ascii="Arial" w:hAnsi="Arial" w:cs="Arial"/>
          <w:b/>
          <w:bCs/>
          <w:sz w:val="20"/>
          <w:szCs w:val="20"/>
          <w:lang w:val="fr-FR"/>
        </w:rPr>
        <w:t>Housseini Dolo</w:t>
      </w:r>
      <w:r w:rsidRPr="006729EB">
        <w:rPr>
          <w:rFonts w:ascii="Arial" w:hAnsi="Arial" w:cs="Arial"/>
          <w:b/>
          <w:bCs/>
          <w:sz w:val="20"/>
          <w:szCs w:val="20"/>
          <w:vertAlign w:val="superscript"/>
          <w:lang w:val="fr-FR"/>
        </w:rPr>
        <w:t>1</w:t>
      </w:r>
      <w:r w:rsidRPr="006729EB">
        <w:rPr>
          <w:rFonts w:ascii="Arial" w:hAnsi="Arial" w:cs="Arial"/>
          <w:sz w:val="20"/>
          <w:szCs w:val="20"/>
          <w:lang w:val="fr-FR"/>
        </w:rPr>
        <w:t>, Heather E. Rosen</w:t>
      </w:r>
      <w:r w:rsidR="0006001F" w:rsidRPr="006729EB">
        <w:rPr>
          <w:rFonts w:ascii="Arial" w:hAnsi="Arial" w:cs="Arial"/>
          <w:sz w:val="20"/>
          <w:szCs w:val="20"/>
          <w:vertAlign w:val="superscript"/>
          <w:lang w:val="fr-FR"/>
        </w:rPr>
        <w:t>3</w:t>
      </w:r>
      <w:r w:rsidRPr="006729EB">
        <w:rPr>
          <w:rFonts w:ascii="Arial" w:hAnsi="Arial" w:cs="Arial"/>
          <w:sz w:val="20"/>
          <w:szCs w:val="20"/>
          <w:lang w:val="fr-FR"/>
        </w:rPr>
        <w:t>, Alyssa S. Khan</w:t>
      </w:r>
      <w:r w:rsidR="0006001F" w:rsidRPr="006729EB">
        <w:rPr>
          <w:rFonts w:ascii="Arial" w:hAnsi="Arial" w:cs="Arial"/>
          <w:sz w:val="20"/>
          <w:szCs w:val="20"/>
          <w:vertAlign w:val="superscript"/>
          <w:lang w:val="fr-FR"/>
        </w:rPr>
        <w:t>3</w:t>
      </w:r>
      <w:r w:rsidRPr="006729EB">
        <w:rPr>
          <w:rFonts w:ascii="Arial" w:hAnsi="Arial" w:cs="Arial"/>
          <w:sz w:val="20"/>
          <w:szCs w:val="20"/>
          <w:lang w:val="fr-FR"/>
        </w:rPr>
        <w:t>, Cheick Oumar Doumbia</w:t>
      </w:r>
      <w:r w:rsidR="0006001F" w:rsidRPr="006729EB">
        <w:rPr>
          <w:rFonts w:ascii="Arial" w:hAnsi="Arial" w:cs="Arial"/>
          <w:sz w:val="20"/>
          <w:szCs w:val="20"/>
          <w:vertAlign w:val="superscript"/>
          <w:lang w:val="fr-FR"/>
        </w:rPr>
        <w:t>2</w:t>
      </w:r>
      <w:r w:rsidRPr="006729EB">
        <w:rPr>
          <w:rFonts w:ascii="Arial" w:hAnsi="Arial" w:cs="Arial"/>
          <w:sz w:val="20"/>
          <w:szCs w:val="20"/>
          <w:lang w:val="fr-FR"/>
        </w:rPr>
        <w:t xml:space="preserve">, </w:t>
      </w:r>
      <w:proofErr w:type="spellStart"/>
      <w:r w:rsidRPr="006729EB">
        <w:rPr>
          <w:rFonts w:ascii="Arial" w:hAnsi="Arial" w:cs="Arial"/>
          <w:sz w:val="20"/>
          <w:szCs w:val="20"/>
          <w:lang w:val="fr-FR"/>
        </w:rPr>
        <w:t>Salif</w:t>
      </w:r>
      <w:proofErr w:type="spellEnd"/>
      <w:r w:rsidRPr="006729EB">
        <w:rPr>
          <w:rFonts w:ascii="Arial" w:hAnsi="Arial" w:cs="Arial"/>
          <w:sz w:val="20"/>
          <w:szCs w:val="20"/>
          <w:lang w:val="fr-FR"/>
        </w:rPr>
        <w:t xml:space="preserve"> Thiam</w:t>
      </w:r>
      <w:r w:rsidR="0006001F" w:rsidRPr="006729EB">
        <w:rPr>
          <w:rFonts w:ascii="Arial" w:hAnsi="Arial" w:cs="Arial"/>
          <w:sz w:val="20"/>
          <w:szCs w:val="20"/>
          <w:vertAlign w:val="superscript"/>
          <w:lang w:val="fr-FR"/>
        </w:rPr>
        <w:t>2</w:t>
      </w:r>
      <w:r w:rsidRPr="006729EB">
        <w:rPr>
          <w:rFonts w:ascii="Arial" w:hAnsi="Arial" w:cs="Arial"/>
          <w:sz w:val="20"/>
          <w:szCs w:val="20"/>
          <w:lang w:val="fr-FR"/>
        </w:rPr>
        <w:t>, Brahima Konate</w:t>
      </w:r>
      <w:r w:rsidR="0006001F" w:rsidRPr="006729EB">
        <w:rPr>
          <w:rFonts w:ascii="Arial" w:hAnsi="Arial" w:cs="Arial"/>
          <w:sz w:val="20"/>
          <w:szCs w:val="20"/>
          <w:vertAlign w:val="superscript"/>
          <w:lang w:val="fr-FR"/>
        </w:rPr>
        <w:t>2</w:t>
      </w:r>
      <w:r w:rsidRPr="006729EB">
        <w:rPr>
          <w:rFonts w:ascii="Arial" w:hAnsi="Arial" w:cs="Arial"/>
          <w:sz w:val="20"/>
          <w:szCs w:val="20"/>
          <w:lang w:val="fr-FR"/>
        </w:rPr>
        <w:t xml:space="preserve">, </w:t>
      </w:r>
      <w:proofErr w:type="spellStart"/>
      <w:r w:rsidRPr="006729EB">
        <w:rPr>
          <w:rFonts w:ascii="Arial" w:hAnsi="Arial" w:cs="Arial"/>
          <w:sz w:val="20"/>
          <w:szCs w:val="20"/>
          <w:lang w:val="fr-FR"/>
        </w:rPr>
        <w:t>Mountaga</w:t>
      </w:r>
      <w:proofErr w:type="spellEnd"/>
      <w:r w:rsidRPr="006729EB">
        <w:rPr>
          <w:rFonts w:ascii="Arial" w:hAnsi="Arial" w:cs="Arial"/>
          <w:sz w:val="20"/>
          <w:szCs w:val="20"/>
          <w:lang w:val="fr-FR"/>
        </w:rPr>
        <w:t xml:space="preserve"> Diallo</w:t>
      </w:r>
      <w:r w:rsidR="0006001F" w:rsidRPr="006729EB">
        <w:rPr>
          <w:rFonts w:ascii="Arial" w:hAnsi="Arial" w:cs="Arial"/>
          <w:sz w:val="20"/>
          <w:szCs w:val="20"/>
          <w:vertAlign w:val="superscript"/>
          <w:lang w:val="fr-FR"/>
        </w:rPr>
        <w:t>2</w:t>
      </w:r>
      <w:r w:rsidRPr="006729EB">
        <w:rPr>
          <w:rFonts w:ascii="Arial" w:hAnsi="Arial" w:cs="Arial"/>
          <w:sz w:val="20"/>
          <w:szCs w:val="20"/>
          <w:lang w:val="fr-FR"/>
        </w:rPr>
        <w:t>, Seydou Doumbia</w:t>
      </w:r>
      <w:r w:rsidR="0006001F" w:rsidRPr="006729EB">
        <w:rPr>
          <w:rFonts w:ascii="Arial" w:hAnsi="Arial" w:cs="Arial"/>
          <w:sz w:val="20"/>
          <w:szCs w:val="20"/>
          <w:vertAlign w:val="superscript"/>
          <w:lang w:val="fr-FR"/>
        </w:rPr>
        <w:t>1,2</w:t>
      </w:r>
      <w:r w:rsidRPr="006729EB">
        <w:rPr>
          <w:rFonts w:ascii="Arial" w:hAnsi="Arial" w:cs="Arial"/>
          <w:sz w:val="20"/>
          <w:szCs w:val="20"/>
          <w:lang w:val="fr-FR"/>
        </w:rPr>
        <w:t xml:space="preserve">, </w:t>
      </w:r>
      <w:proofErr w:type="spellStart"/>
      <w:r w:rsidR="00964D5A">
        <w:rPr>
          <w:rFonts w:ascii="Arial" w:hAnsi="Arial" w:cs="Arial"/>
          <w:sz w:val="20"/>
          <w:szCs w:val="20"/>
          <w:lang w:val="fr-FR"/>
        </w:rPr>
        <w:t>Hamadoun</w:t>
      </w:r>
      <w:proofErr w:type="spellEnd"/>
      <w:r w:rsidR="00964D5A">
        <w:rPr>
          <w:rFonts w:ascii="Arial" w:hAnsi="Arial" w:cs="Arial"/>
          <w:sz w:val="20"/>
          <w:szCs w:val="20"/>
          <w:lang w:val="fr-FR"/>
        </w:rPr>
        <w:t xml:space="preserve"> Sangho</w:t>
      </w:r>
      <w:r w:rsidR="00964D5A" w:rsidRPr="00964D5A">
        <w:rPr>
          <w:rFonts w:ascii="Arial" w:hAnsi="Arial" w:cs="Arial"/>
          <w:sz w:val="20"/>
          <w:szCs w:val="20"/>
          <w:vertAlign w:val="superscript"/>
          <w:lang w:val="fr-FR"/>
        </w:rPr>
        <w:t>1</w:t>
      </w:r>
      <w:r w:rsidR="00964D5A">
        <w:rPr>
          <w:rFonts w:ascii="Arial" w:hAnsi="Arial" w:cs="Arial"/>
          <w:sz w:val="20"/>
          <w:szCs w:val="20"/>
          <w:lang w:val="fr-FR"/>
        </w:rPr>
        <w:t>, Nino</w:t>
      </w:r>
      <w:r w:rsidRPr="006729EB">
        <w:rPr>
          <w:rFonts w:ascii="Arial" w:hAnsi="Arial" w:cs="Arial"/>
          <w:sz w:val="20"/>
          <w:szCs w:val="20"/>
          <w:lang w:val="fr-FR"/>
        </w:rPr>
        <w:t xml:space="preserve"> Paichadze</w:t>
      </w:r>
      <w:r w:rsidR="0006001F" w:rsidRPr="006729EB">
        <w:rPr>
          <w:rFonts w:ascii="Arial" w:hAnsi="Arial" w:cs="Arial"/>
          <w:sz w:val="20"/>
          <w:szCs w:val="20"/>
          <w:vertAlign w:val="superscript"/>
          <w:lang w:val="fr-FR"/>
        </w:rPr>
        <w:t>3</w:t>
      </w:r>
    </w:p>
    <w:p w14:paraId="4E8B4A40" w14:textId="78F66EAF" w:rsidR="0006001F" w:rsidRPr="007D1A32" w:rsidRDefault="0006001F" w:rsidP="00BF0354">
      <w:pPr>
        <w:spacing w:after="0" w:line="276" w:lineRule="auto"/>
        <w:jc w:val="both"/>
        <w:rPr>
          <w:rFonts w:ascii="Arial" w:eastAsia="Arial" w:hAnsi="Arial" w:cs="Arial"/>
          <w:bCs/>
          <w:i/>
          <w:iCs/>
          <w:kern w:val="0"/>
          <w:sz w:val="20"/>
          <w:szCs w:val="20"/>
          <w:lang w:val="fr-FR" w:eastAsia="zh-CN"/>
          <w14:ligatures w14:val="none"/>
        </w:rPr>
      </w:pPr>
      <w:r w:rsidRPr="007D1A32">
        <w:rPr>
          <w:rFonts w:ascii="Arial" w:eastAsia="Arial" w:hAnsi="Arial" w:cs="Arial"/>
          <w:bCs/>
          <w:i/>
          <w:iCs/>
          <w:kern w:val="0"/>
          <w:sz w:val="20"/>
          <w:szCs w:val="20"/>
          <w:vertAlign w:val="superscript"/>
          <w:lang w:val="fr-FR" w:eastAsia="zh-CN"/>
          <w14:ligatures w14:val="none"/>
        </w:rPr>
        <w:t xml:space="preserve">1 </w:t>
      </w:r>
      <w:r w:rsidRPr="007D1A32">
        <w:rPr>
          <w:rFonts w:ascii="Arial" w:eastAsia="Arial" w:hAnsi="Arial" w:cs="Arial"/>
          <w:bCs/>
          <w:i/>
          <w:iCs/>
          <w:kern w:val="0"/>
          <w:sz w:val="20"/>
          <w:szCs w:val="20"/>
          <w:lang w:val="fr-FR" w:eastAsia="zh-CN"/>
          <w14:ligatures w14:val="none"/>
        </w:rPr>
        <w:t>Laboratoire de Recherche en Santé Publique, Faculté de Médecine et d'Odonto-Stomatologie, et Université des Sciences, des Techniques et des Technologies de Bamako, Bamako, Mali</w:t>
      </w:r>
    </w:p>
    <w:p w14:paraId="71CE9B45" w14:textId="2101151B" w:rsidR="0006001F" w:rsidRPr="007D1A32" w:rsidRDefault="0006001F" w:rsidP="00BF0354">
      <w:pPr>
        <w:spacing w:after="0" w:line="276" w:lineRule="auto"/>
        <w:jc w:val="both"/>
        <w:rPr>
          <w:rFonts w:ascii="Arial" w:eastAsia="Arial" w:hAnsi="Arial" w:cs="Arial"/>
          <w:bCs/>
          <w:i/>
          <w:iCs/>
          <w:kern w:val="0"/>
          <w:sz w:val="20"/>
          <w:szCs w:val="20"/>
          <w:lang w:val="fr-FR" w:eastAsia="zh-CN"/>
          <w14:ligatures w14:val="none"/>
        </w:rPr>
      </w:pPr>
      <w:r w:rsidRPr="007D1A32">
        <w:rPr>
          <w:rFonts w:ascii="Arial" w:eastAsia="Arial" w:hAnsi="Arial" w:cs="Arial"/>
          <w:bCs/>
          <w:i/>
          <w:iCs/>
          <w:kern w:val="0"/>
          <w:sz w:val="20"/>
          <w:szCs w:val="20"/>
          <w:vertAlign w:val="superscript"/>
          <w:lang w:val="fr-FR" w:eastAsia="zh-CN"/>
          <w14:ligatures w14:val="none"/>
        </w:rPr>
        <w:t>2</w:t>
      </w:r>
      <w:r w:rsidRPr="007D1A32">
        <w:rPr>
          <w:rFonts w:ascii="Arial" w:eastAsia="Arial" w:hAnsi="Arial" w:cs="Arial"/>
          <w:bCs/>
          <w:i/>
          <w:iCs/>
          <w:kern w:val="0"/>
          <w:sz w:val="20"/>
          <w:szCs w:val="20"/>
          <w:lang w:val="fr-FR" w:eastAsia="zh-CN"/>
          <w14:ligatures w14:val="none"/>
        </w:rPr>
        <w:t xml:space="preserve"> Centre Universitaire de Recherche Clinique, Université des Sciences, des Techniques et des Technologies de Bamako, Mali</w:t>
      </w:r>
    </w:p>
    <w:p w14:paraId="65A0F3BD" w14:textId="41D1AAF9" w:rsidR="00BF0354" w:rsidRPr="00BF0354" w:rsidRDefault="0006001F" w:rsidP="00BF0354">
      <w:pPr>
        <w:spacing w:line="276" w:lineRule="auto"/>
        <w:jc w:val="both"/>
        <w:rPr>
          <w:rFonts w:ascii="Arial" w:eastAsia="Arial" w:hAnsi="Arial" w:cs="Arial"/>
          <w:bCs/>
          <w:i/>
          <w:iCs/>
          <w:kern w:val="0"/>
          <w:sz w:val="20"/>
          <w:szCs w:val="20"/>
          <w:lang w:val="fr-FR" w:eastAsia="zh-CN"/>
          <w14:ligatures w14:val="none"/>
        </w:rPr>
      </w:pPr>
      <w:r w:rsidRPr="007D1A32">
        <w:rPr>
          <w:rFonts w:ascii="Arial" w:eastAsia="Arial" w:hAnsi="Arial" w:cs="Arial"/>
          <w:bCs/>
          <w:i/>
          <w:iCs/>
          <w:kern w:val="0"/>
          <w:sz w:val="20"/>
          <w:szCs w:val="20"/>
          <w:vertAlign w:val="superscript"/>
          <w:lang w:val="fr-FR" w:eastAsia="zh-CN"/>
          <w14:ligatures w14:val="none"/>
        </w:rPr>
        <w:t xml:space="preserve">3 </w:t>
      </w:r>
      <w:r w:rsidRPr="007D1A32">
        <w:rPr>
          <w:rFonts w:ascii="Arial" w:eastAsia="Arial" w:hAnsi="Arial" w:cs="Arial"/>
          <w:bCs/>
          <w:i/>
          <w:iCs/>
          <w:kern w:val="0"/>
          <w:sz w:val="20"/>
          <w:szCs w:val="20"/>
          <w:lang w:val="fr-FR" w:eastAsia="zh-CN"/>
          <w14:ligatures w14:val="none"/>
        </w:rPr>
        <w:t xml:space="preserve">Center on Commercial </w:t>
      </w:r>
      <w:proofErr w:type="spellStart"/>
      <w:r w:rsidR="00F14C45" w:rsidRPr="007D1A32">
        <w:rPr>
          <w:rFonts w:ascii="Arial" w:eastAsia="Arial" w:hAnsi="Arial" w:cs="Arial"/>
          <w:bCs/>
          <w:i/>
          <w:iCs/>
          <w:kern w:val="0"/>
          <w:sz w:val="20"/>
          <w:szCs w:val="20"/>
          <w:lang w:val="fr-FR" w:eastAsia="zh-CN"/>
          <w14:ligatures w14:val="none"/>
        </w:rPr>
        <w:t>Determinants</w:t>
      </w:r>
      <w:proofErr w:type="spellEnd"/>
      <w:r w:rsidRPr="007D1A32">
        <w:rPr>
          <w:rFonts w:ascii="Arial" w:eastAsia="Arial" w:hAnsi="Arial" w:cs="Arial"/>
          <w:bCs/>
          <w:i/>
          <w:iCs/>
          <w:kern w:val="0"/>
          <w:sz w:val="20"/>
          <w:szCs w:val="20"/>
          <w:lang w:val="fr-FR" w:eastAsia="zh-CN"/>
          <w14:ligatures w14:val="none"/>
        </w:rPr>
        <w:t xml:space="preserve"> of </w:t>
      </w:r>
      <w:proofErr w:type="spellStart"/>
      <w:r w:rsidRPr="007D1A32">
        <w:rPr>
          <w:rFonts w:ascii="Arial" w:eastAsia="Arial" w:hAnsi="Arial" w:cs="Arial"/>
          <w:bCs/>
          <w:i/>
          <w:iCs/>
          <w:kern w:val="0"/>
          <w:sz w:val="20"/>
          <w:szCs w:val="20"/>
          <w:lang w:val="fr-FR" w:eastAsia="zh-CN"/>
          <w14:ligatures w14:val="none"/>
        </w:rPr>
        <w:t>Health</w:t>
      </w:r>
      <w:proofErr w:type="spellEnd"/>
      <w:r w:rsidRPr="007D1A32">
        <w:rPr>
          <w:rFonts w:ascii="Arial" w:eastAsia="Arial" w:hAnsi="Arial" w:cs="Arial"/>
          <w:bCs/>
          <w:i/>
          <w:iCs/>
          <w:kern w:val="0"/>
          <w:sz w:val="20"/>
          <w:szCs w:val="20"/>
          <w:lang w:val="fr-FR" w:eastAsia="zh-CN"/>
          <w14:ligatures w14:val="none"/>
        </w:rPr>
        <w:t xml:space="preserve"> and </w:t>
      </w:r>
      <w:proofErr w:type="spellStart"/>
      <w:r w:rsidRPr="007D1A32">
        <w:rPr>
          <w:rFonts w:ascii="Arial" w:eastAsia="Arial" w:hAnsi="Arial" w:cs="Arial"/>
          <w:bCs/>
          <w:i/>
          <w:iCs/>
          <w:kern w:val="0"/>
          <w:sz w:val="20"/>
          <w:szCs w:val="20"/>
          <w:lang w:val="fr-FR" w:eastAsia="zh-CN"/>
          <w14:ligatures w14:val="none"/>
        </w:rPr>
        <w:t>Department</w:t>
      </w:r>
      <w:proofErr w:type="spellEnd"/>
      <w:r w:rsidRPr="007D1A32">
        <w:rPr>
          <w:rFonts w:ascii="Arial" w:eastAsia="Arial" w:hAnsi="Arial" w:cs="Arial"/>
          <w:bCs/>
          <w:i/>
          <w:iCs/>
          <w:kern w:val="0"/>
          <w:sz w:val="20"/>
          <w:szCs w:val="20"/>
          <w:lang w:val="fr-FR" w:eastAsia="zh-CN"/>
          <w14:ligatures w14:val="none"/>
        </w:rPr>
        <w:t xml:space="preserve"> of Global </w:t>
      </w:r>
      <w:proofErr w:type="spellStart"/>
      <w:r w:rsidRPr="007D1A32">
        <w:rPr>
          <w:rFonts w:ascii="Arial" w:eastAsia="Arial" w:hAnsi="Arial" w:cs="Arial"/>
          <w:bCs/>
          <w:i/>
          <w:iCs/>
          <w:kern w:val="0"/>
          <w:sz w:val="20"/>
          <w:szCs w:val="20"/>
          <w:lang w:val="fr-FR" w:eastAsia="zh-CN"/>
          <w14:ligatures w14:val="none"/>
        </w:rPr>
        <w:t>Health</w:t>
      </w:r>
      <w:proofErr w:type="spellEnd"/>
      <w:r w:rsidRPr="007D1A32">
        <w:rPr>
          <w:rFonts w:ascii="Arial" w:eastAsia="Arial" w:hAnsi="Arial" w:cs="Arial"/>
          <w:bCs/>
          <w:i/>
          <w:iCs/>
          <w:kern w:val="0"/>
          <w:sz w:val="20"/>
          <w:szCs w:val="20"/>
          <w:lang w:val="fr-FR" w:eastAsia="zh-CN"/>
          <w14:ligatures w14:val="none"/>
        </w:rPr>
        <w:t xml:space="preserve">, </w:t>
      </w:r>
      <w:proofErr w:type="spellStart"/>
      <w:r w:rsidRPr="007D1A32">
        <w:rPr>
          <w:rFonts w:ascii="Arial" w:eastAsia="Arial" w:hAnsi="Arial" w:cs="Arial"/>
          <w:bCs/>
          <w:i/>
          <w:iCs/>
          <w:kern w:val="0"/>
          <w:sz w:val="20"/>
          <w:szCs w:val="20"/>
          <w:lang w:val="fr-FR" w:eastAsia="zh-CN"/>
          <w14:ligatures w14:val="none"/>
        </w:rPr>
        <w:t>Milken</w:t>
      </w:r>
      <w:proofErr w:type="spellEnd"/>
      <w:r w:rsidRPr="007D1A32">
        <w:rPr>
          <w:rFonts w:ascii="Arial" w:eastAsia="Arial" w:hAnsi="Arial" w:cs="Arial"/>
          <w:bCs/>
          <w:i/>
          <w:iCs/>
          <w:kern w:val="0"/>
          <w:sz w:val="20"/>
          <w:szCs w:val="20"/>
          <w:lang w:val="fr-FR" w:eastAsia="zh-CN"/>
          <w14:ligatures w14:val="none"/>
        </w:rPr>
        <w:t xml:space="preserve"> Institute </w:t>
      </w:r>
      <w:proofErr w:type="spellStart"/>
      <w:r w:rsidRPr="007D1A32">
        <w:rPr>
          <w:rFonts w:ascii="Arial" w:eastAsia="Arial" w:hAnsi="Arial" w:cs="Arial"/>
          <w:bCs/>
          <w:i/>
          <w:iCs/>
          <w:kern w:val="0"/>
          <w:sz w:val="20"/>
          <w:szCs w:val="20"/>
          <w:lang w:val="fr-FR" w:eastAsia="zh-CN"/>
          <w14:ligatures w14:val="none"/>
        </w:rPr>
        <w:t>School</w:t>
      </w:r>
      <w:proofErr w:type="spellEnd"/>
      <w:r w:rsidRPr="007D1A32">
        <w:rPr>
          <w:rFonts w:ascii="Arial" w:eastAsia="Arial" w:hAnsi="Arial" w:cs="Arial"/>
          <w:bCs/>
          <w:i/>
          <w:iCs/>
          <w:kern w:val="0"/>
          <w:sz w:val="20"/>
          <w:szCs w:val="20"/>
          <w:lang w:val="fr-FR" w:eastAsia="zh-CN"/>
          <w14:ligatures w14:val="none"/>
        </w:rPr>
        <w:t xml:space="preserve"> of Public </w:t>
      </w:r>
      <w:proofErr w:type="spellStart"/>
      <w:r w:rsidRPr="007D1A32">
        <w:rPr>
          <w:rFonts w:ascii="Arial" w:eastAsia="Arial" w:hAnsi="Arial" w:cs="Arial"/>
          <w:bCs/>
          <w:i/>
          <w:iCs/>
          <w:kern w:val="0"/>
          <w:sz w:val="20"/>
          <w:szCs w:val="20"/>
          <w:lang w:val="fr-FR" w:eastAsia="zh-CN"/>
          <w14:ligatures w14:val="none"/>
        </w:rPr>
        <w:t>Health</w:t>
      </w:r>
      <w:proofErr w:type="spellEnd"/>
      <w:r w:rsidRPr="007D1A32">
        <w:rPr>
          <w:rFonts w:ascii="Arial" w:eastAsia="Arial" w:hAnsi="Arial" w:cs="Arial"/>
          <w:bCs/>
          <w:i/>
          <w:iCs/>
          <w:kern w:val="0"/>
          <w:sz w:val="20"/>
          <w:szCs w:val="20"/>
          <w:lang w:val="fr-FR" w:eastAsia="zh-CN"/>
          <w14:ligatures w14:val="none"/>
        </w:rPr>
        <w:t xml:space="preserve">, The George Washington </w:t>
      </w:r>
      <w:proofErr w:type="spellStart"/>
      <w:r w:rsidRPr="007D1A32">
        <w:rPr>
          <w:rFonts w:ascii="Arial" w:eastAsia="Arial" w:hAnsi="Arial" w:cs="Arial"/>
          <w:bCs/>
          <w:i/>
          <w:iCs/>
          <w:kern w:val="0"/>
          <w:sz w:val="20"/>
          <w:szCs w:val="20"/>
          <w:lang w:val="fr-FR" w:eastAsia="zh-CN"/>
          <w14:ligatures w14:val="none"/>
        </w:rPr>
        <w:t>University</w:t>
      </w:r>
      <w:proofErr w:type="spellEnd"/>
      <w:r w:rsidRPr="007D1A32">
        <w:rPr>
          <w:rFonts w:ascii="Arial" w:eastAsia="Arial" w:hAnsi="Arial" w:cs="Arial"/>
          <w:bCs/>
          <w:i/>
          <w:iCs/>
          <w:kern w:val="0"/>
          <w:sz w:val="20"/>
          <w:szCs w:val="20"/>
          <w:lang w:val="fr-FR" w:eastAsia="zh-CN"/>
          <w14:ligatures w14:val="none"/>
        </w:rPr>
        <w:t xml:space="preserve">, Washington, DC, United States of America </w:t>
      </w:r>
    </w:p>
    <w:p w14:paraId="64D9D951" w14:textId="273B6420" w:rsidR="00BF0354" w:rsidRDefault="00AB65F6" w:rsidP="00BF0354">
      <w:pPr>
        <w:spacing w:line="276" w:lineRule="auto"/>
        <w:jc w:val="both"/>
        <w:rPr>
          <w:rFonts w:ascii="Arial" w:eastAsia="Arial" w:hAnsi="Arial" w:cs="Arial"/>
          <w:bCs/>
          <w:kern w:val="0"/>
          <w:sz w:val="20"/>
          <w:szCs w:val="20"/>
          <w:lang w:val="fr-FR" w:eastAsia="zh-CN"/>
          <w14:ligatures w14:val="none"/>
        </w:rPr>
      </w:pPr>
      <w:r w:rsidRPr="007D1A32">
        <w:rPr>
          <w:rFonts w:ascii="Arial" w:eastAsia="Arial" w:hAnsi="Arial" w:cs="Arial"/>
          <w:bCs/>
          <w:kern w:val="0"/>
          <w:sz w:val="20"/>
          <w:szCs w:val="20"/>
          <w:lang w:val="fr-FR" w:eastAsia="zh-CN"/>
          <w14:ligatures w14:val="none"/>
        </w:rPr>
        <w:t>Auteur correspondant : Housseini Dolo</w:t>
      </w:r>
    </w:p>
    <w:p w14:paraId="321CA953" w14:textId="1512FFB4" w:rsidR="00F14C45" w:rsidRPr="007D1A32" w:rsidRDefault="00BF0354" w:rsidP="00F14C45">
      <w:pPr>
        <w:spacing w:after="0" w:line="276" w:lineRule="auto"/>
        <w:jc w:val="both"/>
        <w:rPr>
          <w:rFonts w:ascii="Arial" w:eastAsia="Arial" w:hAnsi="Arial" w:cs="Arial"/>
          <w:bCs/>
          <w:kern w:val="0"/>
          <w:sz w:val="20"/>
          <w:szCs w:val="20"/>
          <w:lang w:val="fr-FR" w:eastAsia="zh-CN"/>
          <w14:ligatures w14:val="none"/>
        </w:rPr>
      </w:pPr>
      <w:proofErr w:type="gramStart"/>
      <w:r w:rsidRPr="007D1A32">
        <w:rPr>
          <w:rFonts w:ascii="Arial" w:eastAsia="Arial" w:hAnsi="Arial" w:cs="Arial"/>
          <w:bCs/>
          <w:kern w:val="0"/>
          <w:sz w:val="20"/>
          <w:szCs w:val="20"/>
          <w:lang w:val="fr-FR" w:eastAsia="zh-CN"/>
          <w14:ligatures w14:val="none"/>
        </w:rPr>
        <w:t>Email</w:t>
      </w:r>
      <w:proofErr w:type="gramEnd"/>
      <w:r w:rsidR="00AB65F6" w:rsidRPr="007D1A32">
        <w:rPr>
          <w:rFonts w:ascii="Arial" w:eastAsia="Arial" w:hAnsi="Arial" w:cs="Arial"/>
          <w:bCs/>
          <w:kern w:val="0"/>
          <w:sz w:val="20"/>
          <w:szCs w:val="20"/>
          <w:lang w:val="fr-FR" w:eastAsia="zh-CN"/>
          <w14:ligatures w14:val="none"/>
        </w:rPr>
        <w:t xml:space="preserve"> </w:t>
      </w:r>
      <w:hyperlink r:id="rId5" w:history="1">
        <w:r w:rsidR="00AB65F6" w:rsidRPr="007D1A32">
          <w:rPr>
            <w:rStyle w:val="Hyperlink"/>
            <w:rFonts w:ascii="Arial" w:eastAsia="Arial" w:hAnsi="Arial" w:cs="Arial"/>
            <w:bCs/>
            <w:kern w:val="0"/>
            <w:sz w:val="20"/>
            <w:szCs w:val="20"/>
            <w:lang w:val="fr-FR" w:eastAsia="zh-CN"/>
            <w14:ligatures w14:val="none"/>
          </w:rPr>
          <w:t>hdolo@icermali.org</w:t>
        </w:r>
      </w:hyperlink>
      <w:r w:rsidR="00AB65F6" w:rsidRPr="007D1A32">
        <w:rPr>
          <w:rFonts w:ascii="Arial" w:eastAsia="Arial" w:hAnsi="Arial" w:cs="Arial"/>
          <w:bCs/>
          <w:kern w:val="0"/>
          <w:sz w:val="20"/>
          <w:szCs w:val="20"/>
          <w:lang w:val="fr-FR" w:eastAsia="zh-CN"/>
          <w14:ligatures w14:val="none"/>
        </w:rPr>
        <w:t xml:space="preserve"> </w:t>
      </w:r>
    </w:p>
    <w:p w14:paraId="44188ED9" w14:textId="77777777" w:rsidR="00AB65F6" w:rsidRPr="007D1A32" w:rsidRDefault="00AB65F6" w:rsidP="00F14C45">
      <w:pPr>
        <w:spacing w:after="0" w:line="276" w:lineRule="auto"/>
        <w:jc w:val="both"/>
        <w:rPr>
          <w:rFonts w:ascii="Arial" w:eastAsia="Arial" w:hAnsi="Arial" w:cs="Arial"/>
          <w:bCs/>
          <w:kern w:val="0"/>
          <w:sz w:val="20"/>
          <w:szCs w:val="20"/>
          <w:lang w:val="fr-FR" w:eastAsia="zh-CN"/>
          <w14:ligatures w14:val="none"/>
        </w:rPr>
      </w:pPr>
    </w:p>
    <w:p w14:paraId="479C7F69" w14:textId="7FF5B114" w:rsidR="00621C02" w:rsidRPr="007D1A32" w:rsidRDefault="00AB65F6" w:rsidP="00BF0354">
      <w:pPr>
        <w:spacing w:after="0" w:line="360" w:lineRule="auto"/>
        <w:jc w:val="both"/>
        <w:rPr>
          <w:rFonts w:ascii="Arial" w:hAnsi="Arial" w:cs="Arial"/>
          <w:b/>
          <w:sz w:val="20"/>
          <w:szCs w:val="20"/>
          <w:lang w:val="fr-FR"/>
        </w:rPr>
      </w:pPr>
      <w:r w:rsidRPr="007D1A32">
        <w:rPr>
          <w:rFonts w:ascii="Arial" w:hAnsi="Arial" w:cs="Arial"/>
          <w:b/>
          <w:sz w:val="20"/>
          <w:szCs w:val="20"/>
          <w:lang w:val="fr-FR"/>
        </w:rPr>
        <w:t xml:space="preserve">Résumé </w:t>
      </w:r>
      <w:r w:rsidR="00621C02" w:rsidRPr="007D1A32">
        <w:rPr>
          <w:rFonts w:ascii="Arial" w:hAnsi="Arial" w:cs="Arial"/>
          <w:b/>
          <w:sz w:val="20"/>
          <w:szCs w:val="20"/>
          <w:lang w:val="fr-FR"/>
        </w:rPr>
        <w:t xml:space="preserve"> </w:t>
      </w:r>
    </w:p>
    <w:p w14:paraId="7654B0A7" w14:textId="089A1E97" w:rsidR="00733C7A" w:rsidRPr="001068C1" w:rsidRDefault="00733C7A" w:rsidP="00411945">
      <w:pPr>
        <w:spacing w:after="0" w:line="360" w:lineRule="auto"/>
        <w:jc w:val="both"/>
        <w:rPr>
          <w:sz w:val="20"/>
          <w:szCs w:val="20"/>
        </w:rPr>
      </w:pPr>
      <w:r w:rsidRPr="007D1A32">
        <w:rPr>
          <w:b/>
          <w:bCs/>
          <w:sz w:val="20"/>
          <w:szCs w:val="20"/>
          <w:lang w:val="fr-FR"/>
        </w:rPr>
        <w:t>Contexte :</w:t>
      </w:r>
      <w:r w:rsidRPr="007D1A32">
        <w:rPr>
          <w:sz w:val="20"/>
          <w:szCs w:val="20"/>
          <w:lang w:val="fr-FR"/>
        </w:rPr>
        <w:t xml:space="preserve"> </w:t>
      </w:r>
      <w:r w:rsidR="001068C1" w:rsidRPr="001068C1">
        <w:rPr>
          <w:sz w:val="20"/>
          <w:szCs w:val="20"/>
        </w:rPr>
        <w:t>Les maladies non transmissibles (MNT) sont la principale cause de décès et d'incapacité dans le monde, avec 43,8 millions de décès en 2021. Les risques de nombreuses MNT sont également associés aux déterminants commerciaux (production, commercialisation et consommation). Cette étude a mesuré la consommation et l'exposition aux pratiques commerciales pour les produits manufacturés.</w:t>
      </w:r>
    </w:p>
    <w:p w14:paraId="5C30D0AB" w14:textId="6CDB8A10" w:rsidR="00733C7A" w:rsidRPr="007D1A32" w:rsidRDefault="00733C7A" w:rsidP="00BF0354">
      <w:pPr>
        <w:spacing w:after="0" w:line="360" w:lineRule="auto"/>
        <w:jc w:val="both"/>
        <w:rPr>
          <w:sz w:val="20"/>
          <w:szCs w:val="20"/>
          <w:lang w:val="fr-FR"/>
        </w:rPr>
      </w:pPr>
      <w:r w:rsidRPr="007D1A32">
        <w:rPr>
          <w:b/>
          <w:bCs/>
          <w:sz w:val="20"/>
          <w:szCs w:val="20"/>
          <w:lang w:val="fr-FR"/>
        </w:rPr>
        <w:t>Méthodes :</w:t>
      </w:r>
      <w:r w:rsidRPr="007D1A32">
        <w:rPr>
          <w:sz w:val="20"/>
          <w:szCs w:val="20"/>
          <w:lang w:val="fr-FR"/>
        </w:rPr>
        <w:t xml:space="preserve"> </w:t>
      </w:r>
      <w:r w:rsidR="001068C1" w:rsidRPr="001068C1">
        <w:rPr>
          <w:sz w:val="20"/>
          <w:szCs w:val="20"/>
          <w:lang w:val="fr-FR"/>
        </w:rPr>
        <w:t>Une enquête auprès des 18 ans et plus sur deux sites à Bamako a été conduite, au Mali, à l'aide d'un questionnaire conçu pour collecter des facteurs sociodémographiques et mesurer la consommation et l'exposition aux pratiques commerciales pour les produits manufacturés. Nous avons effectué des tests du chi carré pour évaluer les différences selon trois groupes vulnérables.</w:t>
      </w:r>
    </w:p>
    <w:p w14:paraId="4E911FA9" w14:textId="362B329F" w:rsidR="00733C7A" w:rsidRPr="007D1A32" w:rsidRDefault="00733C7A" w:rsidP="00BF0354">
      <w:pPr>
        <w:spacing w:after="0" w:line="360" w:lineRule="auto"/>
        <w:jc w:val="both"/>
        <w:rPr>
          <w:sz w:val="20"/>
          <w:szCs w:val="20"/>
          <w:lang w:val="fr-FR"/>
        </w:rPr>
      </w:pPr>
      <w:r w:rsidRPr="007D1A32">
        <w:rPr>
          <w:b/>
          <w:bCs/>
          <w:sz w:val="20"/>
          <w:szCs w:val="20"/>
          <w:lang w:val="fr-FR"/>
        </w:rPr>
        <w:t>Résultats :</w:t>
      </w:r>
      <w:r w:rsidRPr="007D1A32">
        <w:rPr>
          <w:sz w:val="20"/>
          <w:szCs w:val="20"/>
          <w:lang w:val="fr-FR"/>
        </w:rPr>
        <w:t xml:space="preserve"> </w:t>
      </w:r>
      <w:r w:rsidR="001068C1" w:rsidRPr="001068C1">
        <w:rPr>
          <w:sz w:val="20"/>
          <w:szCs w:val="20"/>
        </w:rPr>
        <w:t xml:space="preserve">Nous avons interrogé 984 participants et rapporté une forte consommation de boissons sucrées (78 %) et d'aliments transformés (57 %) au cours de la semaine écoulée, ainsi qu'une faible consommation actuelle de tabac et </w:t>
      </w:r>
      <w:r w:rsidR="00D507D6" w:rsidRPr="001068C1">
        <w:rPr>
          <w:sz w:val="20"/>
          <w:szCs w:val="20"/>
        </w:rPr>
        <w:t>d’alcool</w:t>
      </w:r>
      <w:r w:rsidR="001068C1" w:rsidRPr="001068C1">
        <w:rPr>
          <w:sz w:val="20"/>
          <w:szCs w:val="20"/>
        </w:rPr>
        <w:t xml:space="preserve"> avec respectivement 11 % et 1 % au cours des 30 derniers jours. Plus de la moitié des participants ont été exposés à des pratiques commerciales au cours des 30 derniers jours pour commercialiser des boissons sucrées (76 %) et des aliments transformés (57 %). Les jeunes adultes avaient une consommation plus élevée de boissons sucrées et d'aliments transformés et une plus grande exposition aux pratiques commerciales pour les deux produits.</w:t>
      </w:r>
    </w:p>
    <w:p w14:paraId="1DF522FB" w14:textId="30964751" w:rsidR="00733C7A" w:rsidRPr="001068C1" w:rsidRDefault="00733C7A" w:rsidP="00BF0354">
      <w:pPr>
        <w:spacing w:after="0" w:line="360" w:lineRule="auto"/>
        <w:jc w:val="both"/>
        <w:rPr>
          <w:sz w:val="20"/>
          <w:szCs w:val="20"/>
        </w:rPr>
      </w:pPr>
      <w:r w:rsidRPr="007D1A32">
        <w:rPr>
          <w:b/>
          <w:bCs/>
          <w:sz w:val="20"/>
          <w:szCs w:val="20"/>
          <w:lang w:val="fr-FR"/>
        </w:rPr>
        <w:t>Conclusions :</w:t>
      </w:r>
      <w:r w:rsidRPr="007D1A32">
        <w:rPr>
          <w:sz w:val="20"/>
          <w:szCs w:val="20"/>
          <w:lang w:val="fr-FR"/>
        </w:rPr>
        <w:t xml:space="preserve"> </w:t>
      </w:r>
      <w:r w:rsidR="001068C1" w:rsidRPr="001068C1">
        <w:rPr>
          <w:sz w:val="20"/>
          <w:szCs w:val="20"/>
        </w:rPr>
        <w:t xml:space="preserve">Cette étude a révélé que les adultes à Bamako, sont de grands consommateurs de boissons sucrées et d'aliments transformés et beaucoup exposés à des pratiques commerciales telles que la publicité, la promotion ou le parrainage pour ces deux types de produits. Les jeunes adultes etant plus vulnerables des interventions ciblées sont justifiées pour leur protection. </w:t>
      </w:r>
    </w:p>
    <w:p w14:paraId="516FCC67" w14:textId="2D927BA9" w:rsidR="00733C7A" w:rsidRDefault="00733C7A" w:rsidP="00BF0354">
      <w:pPr>
        <w:spacing w:after="0" w:line="360" w:lineRule="auto"/>
        <w:jc w:val="both"/>
        <w:rPr>
          <w:sz w:val="20"/>
          <w:szCs w:val="20"/>
          <w:lang w:val="fr-FR"/>
        </w:rPr>
      </w:pPr>
      <w:r w:rsidRPr="007D1A32">
        <w:rPr>
          <w:b/>
          <w:bCs/>
          <w:sz w:val="20"/>
          <w:szCs w:val="20"/>
          <w:lang w:val="fr-FR"/>
        </w:rPr>
        <w:t>Mots-clés :</w:t>
      </w:r>
      <w:r w:rsidRPr="007D1A32">
        <w:rPr>
          <w:sz w:val="20"/>
          <w:szCs w:val="20"/>
          <w:lang w:val="fr-FR"/>
        </w:rPr>
        <w:t xml:space="preserve"> </w:t>
      </w:r>
      <w:r w:rsidR="00E7048D">
        <w:rPr>
          <w:sz w:val="20"/>
          <w:szCs w:val="20"/>
          <w:lang w:val="fr-FR"/>
        </w:rPr>
        <w:t>MNT</w:t>
      </w:r>
      <w:r w:rsidRPr="007D1A32">
        <w:rPr>
          <w:sz w:val="20"/>
          <w:szCs w:val="20"/>
          <w:lang w:val="fr-FR"/>
        </w:rPr>
        <w:t xml:space="preserve"> ; </w:t>
      </w:r>
      <w:r w:rsidR="006729EB" w:rsidRPr="007D1A32">
        <w:rPr>
          <w:sz w:val="20"/>
          <w:szCs w:val="20"/>
          <w:lang w:val="fr-FR"/>
        </w:rPr>
        <w:t>D</w:t>
      </w:r>
      <w:r w:rsidRPr="007D1A32">
        <w:rPr>
          <w:sz w:val="20"/>
          <w:szCs w:val="20"/>
          <w:lang w:val="fr-FR"/>
        </w:rPr>
        <w:t xml:space="preserve">éterminants </w:t>
      </w:r>
      <w:r w:rsidR="006729EB" w:rsidRPr="007D1A32">
        <w:rPr>
          <w:sz w:val="20"/>
          <w:szCs w:val="20"/>
          <w:lang w:val="fr-FR"/>
        </w:rPr>
        <w:t>C</w:t>
      </w:r>
      <w:r w:rsidRPr="007D1A32">
        <w:rPr>
          <w:sz w:val="20"/>
          <w:szCs w:val="20"/>
          <w:lang w:val="fr-FR"/>
        </w:rPr>
        <w:t xml:space="preserve">ommerciaux de la </w:t>
      </w:r>
      <w:r w:rsidR="006729EB" w:rsidRPr="007D1A32">
        <w:rPr>
          <w:sz w:val="20"/>
          <w:szCs w:val="20"/>
          <w:lang w:val="fr-FR"/>
        </w:rPr>
        <w:t>S</w:t>
      </w:r>
      <w:r w:rsidRPr="007D1A32">
        <w:rPr>
          <w:sz w:val="20"/>
          <w:szCs w:val="20"/>
          <w:lang w:val="fr-FR"/>
        </w:rPr>
        <w:t xml:space="preserve">anté ; </w:t>
      </w:r>
      <w:r w:rsidR="006729EB" w:rsidRPr="007D1A32">
        <w:rPr>
          <w:sz w:val="20"/>
          <w:szCs w:val="20"/>
          <w:lang w:val="fr-FR"/>
        </w:rPr>
        <w:t>P</w:t>
      </w:r>
      <w:r w:rsidRPr="007D1A32">
        <w:rPr>
          <w:sz w:val="20"/>
          <w:szCs w:val="20"/>
          <w:lang w:val="fr-FR"/>
        </w:rPr>
        <w:t>ublicité ; Mali</w:t>
      </w:r>
    </w:p>
    <w:p w14:paraId="15048E7C" w14:textId="77777777" w:rsidR="00B669D6" w:rsidRDefault="00B669D6" w:rsidP="00BF0354">
      <w:pPr>
        <w:spacing w:after="0" w:line="360" w:lineRule="auto"/>
        <w:jc w:val="both"/>
        <w:rPr>
          <w:sz w:val="20"/>
          <w:szCs w:val="20"/>
          <w:lang w:val="fr-FR"/>
        </w:rPr>
      </w:pPr>
    </w:p>
    <w:p w14:paraId="6DB39D04" w14:textId="77777777" w:rsidR="00B669D6" w:rsidRDefault="00B669D6" w:rsidP="00BF0354">
      <w:pPr>
        <w:spacing w:after="0" w:line="360" w:lineRule="auto"/>
        <w:jc w:val="both"/>
        <w:rPr>
          <w:sz w:val="20"/>
          <w:szCs w:val="20"/>
          <w:lang w:val="fr-FR"/>
        </w:rPr>
      </w:pPr>
    </w:p>
    <w:p w14:paraId="51D8EE81" w14:textId="0CE94F03" w:rsidR="00B669D6" w:rsidRPr="007D1A32" w:rsidRDefault="00B669D6" w:rsidP="00BF0354">
      <w:pPr>
        <w:spacing w:after="0" w:line="360" w:lineRule="auto"/>
        <w:jc w:val="both"/>
        <w:rPr>
          <w:sz w:val="20"/>
          <w:szCs w:val="20"/>
          <w:lang w:val="fr-FR"/>
        </w:rPr>
      </w:pPr>
    </w:p>
    <w:sectPr w:rsidR="00B669D6" w:rsidRPr="007D1A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6380"/>
    <w:multiLevelType w:val="hybridMultilevel"/>
    <w:tmpl w:val="A5507442"/>
    <w:lvl w:ilvl="0" w:tplc="EBC0B80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71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68"/>
    <w:rsid w:val="0006001F"/>
    <w:rsid w:val="000A24EC"/>
    <w:rsid w:val="000A3A91"/>
    <w:rsid w:val="001068C1"/>
    <w:rsid w:val="00160F46"/>
    <w:rsid w:val="00232316"/>
    <w:rsid w:val="00280E56"/>
    <w:rsid w:val="0029612E"/>
    <w:rsid w:val="002B293B"/>
    <w:rsid w:val="003C12EB"/>
    <w:rsid w:val="003D360D"/>
    <w:rsid w:val="00411945"/>
    <w:rsid w:val="0048278B"/>
    <w:rsid w:val="004A5AAB"/>
    <w:rsid w:val="005B173D"/>
    <w:rsid w:val="00621C02"/>
    <w:rsid w:val="006729EB"/>
    <w:rsid w:val="006A3EAD"/>
    <w:rsid w:val="00733C7A"/>
    <w:rsid w:val="007C72B9"/>
    <w:rsid w:val="007D1A32"/>
    <w:rsid w:val="00964D5A"/>
    <w:rsid w:val="00986575"/>
    <w:rsid w:val="00A02EC2"/>
    <w:rsid w:val="00A82B5D"/>
    <w:rsid w:val="00AB65F6"/>
    <w:rsid w:val="00AE61AA"/>
    <w:rsid w:val="00B669D6"/>
    <w:rsid w:val="00BA0EE3"/>
    <w:rsid w:val="00BF0354"/>
    <w:rsid w:val="00C065D9"/>
    <w:rsid w:val="00C85FB0"/>
    <w:rsid w:val="00D5025A"/>
    <w:rsid w:val="00D507D6"/>
    <w:rsid w:val="00D74368"/>
    <w:rsid w:val="00E222A7"/>
    <w:rsid w:val="00E7048D"/>
    <w:rsid w:val="00F14C45"/>
    <w:rsid w:val="00F24623"/>
    <w:rsid w:val="00F4476A"/>
  </w:rsids>
  <m:mathPr>
    <m:mathFont m:val="Cambria Math"/>
    <m:brkBin m:val="before"/>
    <m:brkBinSub m:val="--"/>
    <m:smallFrac m:val="0"/>
    <m:dispDef/>
    <m:lMargin m:val="0"/>
    <m:rMargin m:val="0"/>
    <m:defJc m:val="centerGroup"/>
    <m:wrapIndent m:val="1440"/>
    <m:intLim m:val="subSup"/>
    <m:naryLim m:val="undOvr"/>
  </m:mathPr>
  <w:themeFontLang w:val="en-ML"/>
  <w:clrSchemeMapping w:bg1="light1" w:t1="dark1" w:bg2="light2" w:t2="dark2" w:accent1="accent1" w:accent2="accent2" w:accent3="accent3" w:accent4="accent4" w:accent5="accent5" w:accent6="accent6" w:hyperlink="hyperlink" w:followedHyperlink="followedHyperlink"/>
  <w:decimalSymbol w:val="."/>
  <w:listSeparator w:val=","/>
  <w14:docId w14:val="0B696FD8"/>
  <w15:chartTrackingRefBased/>
  <w15:docId w15:val="{03301FC3-F870-8F43-AD13-E3F7036B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3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3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3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368"/>
    <w:rPr>
      <w:rFonts w:eastAsiaTheme="majorEastAsia" w:cstheme="majorBidi"/>
      <w:color w:val="272727" w:themeColor="text1" w:themeTint="D8"/>
    </w:rPr>
  </w:style>
  <w:style w:type="paragraph" w:styleId="Title">
    <w:name w:val="Title"/>
    <w:basedOn w:val="Normal"/>
    <w:next w:val="Normal"/>
    <w:link w:val="TitleChar"/>
    <w:uiPriority w:val="10"/>
    <w:qFormat/>
    <w:rsid w:val="00D74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368"/>
    <w:pPr>
      <w:spacing w:before="160"/>
      <w:jc w:val="center"/>
    </w:pPr>
    <w:rPr>
      <w:i/>
      <w:iCs/>
      <w:color w:val="404040" w:themeColor="text1" w:themeTint="BF"/>
    </w:rPr>
  </w:style>
  <w:style w:type="character" w:customStyle="1" w:styleId="QuoteChar">
    <w:name w:val="Quote Char"/>
    <w:basedOn w:val="DefaultParagraphFont"/>
    <w:link w:val="Quote"/>
    <w:uiPriority w:val="29"/>
    <w:rsid w:val="00D74368"/>
    <w:rPr>
      <w:i/>
      <w:iCs/>
      <w:color w:val="404040" w:themeColor="text1" w:themeTint="BF"/>
    </w:rPr>
  </w:style>
  <w:style w:type="paragraph" w:styleId="ListParagraph">
    <w:name w:val="List Paragraph"/>
    <w:basedOn w:val="Normal"/>
    <w:uiPriority w:val="34"/>
    <w:qFormat/>
    <w:rsid w:val="00D74368"/>
    <w:pPr>
      <w:ind w:left="720"/>
      <w:contextualSpacing/>
    </w:pPr>
  </w:style>
  <w:style w:type="character" w:styleId="IntenseEmphasis">
    <w:name w:val="Intense Emphasis"/>
    <w:basedOn w:val="DefaultParagraphFont"/>
    <w:uiPriority w:val="21"/>
    <w:qFormat/>
    <w:rsid w:val="00D74368"/>
    <w:rPr>
      <w:i/>
      <w:iCs/>
      <w:color w:val="0F4761" w:themeColor="accent1" w:themeShade="BF"/>
    </w:rPr>
  </w:style>
  <w:style w:type="paragraph" w:styleId="IntenseQuote">
    <w:name w:val="Intense Quote"/>
    <w:basedOn w:val="Normal"/>
    <w:next w:val="Normal"/>
    <w:link w:val="IntenseQuoteChar"/>
    <w:uiPriority w:val="30"/>
    <w:qFormat/>
    <w:rsid w:val="00D74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368"/>
    <w:rPr>
      <w:i/>
      <w:iCs/>
      <w:color w:val="0F4761" w:themeColor="accent1" w:themeShade="BF"/>
    </w:rPr>
  </w:style>
  <w:style w:type="character" w:styleId="IntenseReference">
    <w:name w:val="Intense Reference"/>
    <w:basedOn w:val="DefaultParagraphFont"/>
    <w:uiPriority w:val="32"/>
    <w:qFormat/>
    <w:rsid w:val="00D74368"/>
    <w:rPr>
      <w:b/>
      <w:bCs/>
      <w:smallCaps/>
      <w:color w:val="0F4761" w:themeColor="accent1" w:themeShade="BF"/>
      <w:spacing w:val="5"/>
    </w:rPr>
  </w:style>
  <w:style w:type="character" w:styleId="CommentReference">
    <w:name w:val="annotation reference"/>
    <w:basedOn w:val="DefaultParagraphFont"/>
    <w:uiPriority w:val="99"/>
    <w:semiHidden/>
    <w:unhideWhenUsed/>
    <w:rsid w:val="00621C02"/>
    <w:rPr>
      <w:sz w:val="16"/>
      <w:szCs w:val="16"/>
    </w:rPr>
  </w:style>
  <w:style w:type="paragraph" w:styleId="CommentText">
    <w:name w:val="annotation text"/>
    <w:basedOn w:val="Normal"/>
    <w:link w:val="CommentTextChar"/>
    <w:uiPriority w:val="99"/>
    <w:unhideWhenUsed/>
    <w:rsid w:val="00621C02"/>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621C02"/>
    <w:rPr>
      <w:kern w:val="0"/>
      <w:sz w:val="20"/>
      <w:szCs w:val="20"/>
      <w:lang w:val="en-US"/>
      <w14:ligatures w14:val="none"/>
    </w:rPr>
  </w:style>
  <w:style w:type="character" w:styleId="Hyperlink">
    <w:name w:val="Hyperlink"/>
    <w:basedOn w:val="DefaultParagraphFont"/>
    <w:uiPriority w:val="99"/>
    <w:unhideWhenUsed/>
    <w:rsid w:val="00AB65F6"/>
    <w:rPr>
      <w:color w:val="467886" w:themeColor="hyperlink"/>
      <w:u w:val="single"/>
    </w:rPr>
  </w:style>
  <w:style w:type="character" w:styleId="UnresolvedMention">
    <w:name w:val="Unresolved Mention"/>
    <w:basedOn w:val="DefaultParagraphFont"/>
    <w:uiPriority w:val="99"/>
    <w:semiHidden/>
    <w:unhideWhenUsed/>
    <w:rsid w:val="00AB6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264564">
      <w:bodyDiv w:val="1"/>
      <w:marLeft w:val="0"/>
      <w:marRight w:val="0"/>
      <w:marTop w:val="0"/>
      <w:marBottom w:val="0"/>
      <w:divBdr>
        <w:top w:val="none" w:sz="0" w:space="0" w:color="auto"/>
        <w:left w:val="none" w:sz="0" w:space="0" w:color="auto"/>
        <w:bottom w:val="none" w:sz="0" w:space="0" w:color="auto"/>
        <w:right w:val="none" w:sz="0" w:space="0" w:color="auto"/>
      </w:divBdr>
    </w:div>
    <w:div w:id="197829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dolo@icermal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Housseini Dolo</dc:creator>
  <cp:keywords/>
  <dc:description/>
  <cp:lastModifiedBy>Housseini Dolo</cp:lastModifiedBy>
  <cp:revision>23</cp:revision>
  <dcterms:created xsi:type="dcterms:W3CDTF">2025-05-28T16:47:00Z</dcterms:created>
  <dcterms:modified xsi:type="dcterms:W3CDTF">2025-07-08T14:31:00Z</dcterms:modified>
</cp:coreProperties>
</file>