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575A" w14:textId="77777777" w:rsidR="00B241AB" w:rsidRDefault="00B241AB" w:rsidP="00B241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412098"/>
      <w:r w:rsidRPr="009F01DC">
        <w:rPr>
          <w:rFonts w:ascii="Times New Roman" w:hAnsi="Times New Roman" w:cs="Times New Roman"/>
          <w:b/>
          <w:bCs/>
          <w:sz w:val="24"/>
          <w:szCs w:val="24"/>
        </w:rPr>
        <w:t>Tendances des inégalités socioéconomiques dans l’utilisation des méthodes contraceptives modernes au Burkina Faso de 2003 – 2021 : Une analyse de décomposition.</w:t>
      </w:r>
    </w:p>
    <w:p w14:paraId="53B552CD" w14:textId="7A61D960" w:rsidR="00B241AB" w:rsidRDefault="00B241AB" w:rsidP="00B241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Auteurs 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Millogo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Tiéba</w:t>
      </w:r>
      <w:r w:rsidRPr="00B241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 Kourouma Lamine</w:t>
      </w:r>
      <w:r w:rsidRPr="00B241A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8F55BB" w14:textId="2772B0CD" w:rsidR="00B241AB" w:rsidRPr="009F01DC" w:rsidRDefault="00B241AB" w:rsidP="00B241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Institut Africain de Santé Publique </w:t>
      </w:r>
    </w:p>
    <w:p w14:paraId="47A0C964" w14:textId="77777777" w:rsidR="004C01A9" w:rsidRDefault="00B241AB" w:rsidP="00B241AB">
      <w:pPr>
        <w:spacing w:after="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5249003"/>
      <w:bookmarkEnd w:id="0"/>
      <w:r w:rsidRPr="008138CB">
        <w:rPr>
          <w:rFonts w:ascii="Times New Roman" w:hAnsi="Times New Roman" w:cs="Times New Roman"/>
          <w:b/>
          <w:bCs/>
          <w:sz w:val="24"/>
          <w:szCs w:val="24"/>
        </w:rPr>
        <w:t>Introduction </w:t>
      </w:r>
      <w:bookmarkEnd w:id="1"/>
    </w:p>
    <w:p w14:paraId="3BB88448" w14:textId="4E525557" w:rsidR="00B241AB" w:rsidRPr="008138CB" w:rsidRDefault="00B241AB" w:rsidP="00B241A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Au cours de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dernières décennies, l</w:t>
      </w:r>
      <w:r w:rsidRPr="008138CB">
        <w:rPr>
          <w:rFonts w:ascii="Times New Roman" w:hAnsi="Times New Roman" w:cs="Times New Roman"/>
          <w:sz w:val="24"/>
          <w:szCs w:val="24"/>
        </w:rPr>
        <w:t xml:space="preserve">e </w:t>
      </w:r>
      <w:r w:rsidR="004C01A9">
        <w:rPr>
          <w:rFonts w:ascii="Times New Roman" w:hAnsi="Times New Roman" w:cs="Times New Roman"/>
          <w:sz w:val="24"/>
          <w:szCs w:val="24"/>
        </w:rPr>
        <w:t>Burkina Faso</w:t>
      </w:r>
      <w:r w:rsidRPr="00813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amélioré </w:t>
      </w:r>
      <w:r w:rsidRPr="008138CB">
        <w:rPr>
          <w:rFonts w:ascii="Times New Roman" w:hAnsi="Times New Roman" w:cs="Times New Roman"/>
          <w:sz w:val="24"/>
          <w:szCs w:val="24"/>
        </w:rPr>
        <w:t xml:space="preserve">l'accès </w:t>
      </w:r>
      <w:r>
        <w:rPr>
          <w:rFonts w:ascii="Times New Roman" w:hAnsi="Times New Roman" w:cs="Times New Roman"/>
          <w:sz w:val="24"/>
          <w:szCs w:val="24"/>
        </w:rPr>
        <w:t>et l’utilisation des</w:t>
      </w:r>
      <w:r w:rsidRPr="008138CB">
        <w:rPr>
          <w:rFonts w:ascii="Times New Roman" w:hAnsi="Times New Roman" w:cs="Times New Roman"/>
          <w:sz w:val="24"/>
          <w:szCs w:val="24"/>
        </w:rPr>
        <w:t xml:space="preserve"> services </w:t>
      </w:r>
      <w:r>
        <w:rPr>
          <w:rFonts w:ascii="Times New Roman" w:hAnsi="Times New Roman" w:cs="Times New Roman"/>
          <w:sz w:val="24"/>
          <w:szCs w:val="24"/>
        </w:rPr>
        <w:t>planification familiale à travers diverses initiatives dont une politique de gratuité des services,</w:t>
      </w:r>
      <w:r>
        <w:rPr>
          <w:rFonts w:ascii="Times New Roman" w:hAnsi="Times New Roman" w:cs="Times New Roman"/>
          <w:sz w:val="24"/>
          <w:szCs w:val="24"/>
        </w:rPr>
        <w:t xml:space="preserve"> entrainant une augmentation</w:t>
      </w:r>
      <w:r>
        <w:rPr>
          <w:rFonts w:ascii="Times New Roman" w:hAnsi="Times New Roman" w:cs="Times New Roman"/>
          <w:sz w:val="24"/>
          <w:szCs w:val="24"/>
        </w:rPr>
        <w:t xml:space="preserve"> considérable </w:t>
      </w:r>
      <w:r>
        <w:rPr>
          <w:rFonts w:ascii="Times New Roman" w:hAnsi="Times New Roman" w:cs="Times New Roman"/>
          <w:sz w:val="24"/>
          <w:szCs w:val="24"/>
        </w:rPr>
        <w:t>de la prévalence contraceptive moderne</w:t>
      </w:r>
      <w:r w:rsidRPr="008138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138CB">
        <w:rPr>
          <w:rFonts w:ascii="Times New Roman" w:hAnsi="Times New Roman" w:cs="Times New Roman"/>
          <w:sz w:val="24"/>
          <w:szCs w:val="24"/>
        </w:rPr>
        <w:t xml:space="preserve">ette étude visait à </w:t>
      </w:r>
      <w:r>
        <w:rPr>
          <w:rFonts w:ascii="Times New Roman" w:hAnsi="Times New Roman" w:cs="Times New Roman"/>
          <w:sz w:val="24"/>
          <w:szCs w:val="24"/>
        </w:rPr>
        <w:t xml:space="preserve">explorer la dimension « équité » de ces initiatives à travers l’analyse de </w:t>
      </w:r>
      <w:r w:rsidRPr="008138CB">
        <w:rPr>
          <w:rFonts w:ascii="Times New Roman" w:hAnsi="Times New Roman" w:cs="Times New Roman"/>
          <w:sz w:val="24"/>
          <w:szCs w:val="24"/>
        </w:rPr>
        <w:t xml:space="preserve">la tendance des inégalités socioéconomiques dans l'utilisation des contraceptifs modernes </w:t>
      </w:r>
      <w:r>
        <w:rPr>
          <w:rFonts w:ascii="Times New Roman" w:hAnsi="Times New Roman" w:cs="Times New Roman"/>
          <w:sz w:val="24"/>
          <w:szCs w:val="24"/>
        </w:rPr>
        <w:t xml:space="preserve">au </w:t>
      </w:r>
      <w:r w:rsidRPr="008138CB">
        <w:rPr>
          <w:rFonts w:ascii="Times New Roman" w:hAnsi="Times New Roman" w:cs="Times New Roman"/>
          <w:sz w:val="24"/>
          <w:szCs w:val="24"/>
        </w:rPr>
        <w:t>Burkina Faso.</w:t>
      </w:r>
    </w:p>
    <w:p w14:paraId="30B787AA" w14:textId="7E8FFD17" w:rsidR="00B241AB" w:rsidRPr="008138CB" w:rsidRDefault="00B241AB" w:rsidP="00B241A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CB">
        <w:rPr>
          <w:rFonts w:ascii="Times New Roman" w:hAnsi="Times New Roman" w:cs="Times New Roman"/>
          <w:b/>
          <w:bCs/>
          <w:sz w:val="24"/>
          <w:szCs w:val="24"/>
        </w:rPr>
        <w:t xml:space="preserve">Matériels et méthodes : </w:t>
      </w:r>
      <w:r w:rsidRPr="008138CB">
        <w:rPr>
          <w:rFonts w:ascii="Times New Roman" w:hAnsi="Times New Roman" w:cs="Times New Roman"/>
          <w:sz w:val="24"/>
          <w:szCs w:val="24"/>
        </w:rPr>
        <w:t>Nous avons effectué une analyse secondaire des données d’enquête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138CB">
        <w:rPr>
          <w:rFonts w:ascii="Times New Roman" w:hAnsi="Times New Roman" w:cs="Times New Roman"/>
          <w:sz w:val="24"/>
          <w:szCs w:val="24"/>
        </w:rPr>
        <w:t xml:space="preserve"> démographique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138CB">
        <w:rPr>
          <w:rFonts w:ascii="Times New Roman" w:hAnsi="Times New Roman" w:cs="Times New Roman"/>
          <w:sz w:val="24"/>
          <w:szCs w:val="24"/>
        </w:rPr>
        <w:t xml:space="preserve"> et de santé</w:t>
      </w:r>
      <w:r>
        <w:rPr>
          <w:rFonts w:ascii="Times New Roman" w:hAnsi="Times New Roman" w:cs="Times New Roman"/>
          <w:sz w:val="24"/>
          <w:szCs w:val="24"/>
        </w:rPr>
        <w:t xml:space="preserve"> (EDS)</w:t>
      </w:r>
      <w:r w:rsidRPr="008138CB">
        <w:rPr>
          <w:rFonts w:ascii="Times New Roman" w:hAnsi="Times New Roman" w:cs="Times New Roman"/>
          <w:sz w:val="24"/>
          <w:szCs w:val="24"/>
        </w:rPr>
        <w:t xml:space="preserve"> du Burkina Faso de 2003 à 202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3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Les EDS sont des enquêtes transversales représentatives au niveau national. </w:t>
      </w:r>
      <w:r w:rsidRPr="008138CB">
        <w:rPr>
          <w:rFonts w:ascii="Times New Roman" w:hAnsi="Times New Roman" w:cs="Times New Roman"/>
          <w:sz w:val="24"/>
          <w:szCs w:val="24"/>
        </w:rPr>
        <w:t xml:space="preserve">Nous avons estimé les tendances des inégalités liées à la richesse et à l’éducation dans l’utilisation des méthodes contraceptives modernes en utilisant les indices de concentration normalisés de </w:t>
      </w:r>
      <w:proofErr w:type="spellStart"/>
      <w:r w:rsidRPr="008138CB">
        <w:rPr>
          <w:rFonts w:ascii="Times New Roman" w:hAnsi="Times New Roman" w:cs="Times New Roman"/>
          <w:sz w:val="24"/>
          <w:szCs w:val="24"/>
        </w:rPr>
        <w:t>Wagstaff</w:t>
      </w:r>
      <w:proofErr w:type="spellEnd"/>
      <w:r w:rsidRPr="008138CB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Pr="008138CB">
        <w:rPr>
          <w:rFonts w:ascii="Times New Roman" w:hAnsi="Times New Roman" w:cs="Times New Roman"/>
          <w:sz w:val="24"/>
          <w:szCs w:val="24"/>
        </w:rPr>
        <w:t xml:space="preserve">courbes de concentration. Une analyse de décomposition a été </w:t>
      </w:r>
      <w:r w:rsidR="004C01A9">
        <w:rPr>
          <w:rFonts w:ascii="Times New Roman" w:hAnsi="Times New Roman" w:cs="Times New Roman"/>
          <w:sz w:val="24"/>
          <w:szCs w:val="24"/>
        </w:rPr>
        <w:t>conduite</w:t>
      </w:r>
      <w:r w:rsidRPr="008138CB">
        <w:rPr>
          <w:rFonts w:ascii="Times New Roman" w:hAnsi="Times New Roman" w:cs="Times New Roman"/>
          <w:sz w:val="24"/>
          <w:szCs w:val="24"/>
        </w:rPr>
        <w:t xml:space="preserve"> pour déterminer les facteurs </w:t>
      </w:r>
      <w:r w:rsidR="004C01A9">
        <w:rPr>
          <w:rFonts w:ascii="Times New Roman" w:hAnsi="Times New Roman" w:cs="Times New Roman"/>
          <w:sz w:val="24"/>
          <w:szCs w:val="24"/>
        </w:rPr>
        <w:t>associés aux inégalités</w:t>
      </w:r>
      <w:r w:rsidRPr="008138CB">
        <w:rPr>
          <w:rFonts w:ascii="Times New Roman" w:hAnsi="Times New Roman" w:cs="Times New Roman"/>
          <w:sz w:val="24"/>
          <w:szCs w:val="24"/>
        </w:rPr>
        <w:t xml:space="preserve"> socioéconomiques dans l'utilisation de la contraception.</w:t>
      </w:r>
    </w:p>
    <w:p w14:paraId="0BDC3F81" w14:textId="2DB76249" w:rsidR="00B241AB" w:rsidRPr="008138CB" w:rsidRDefault="00B241AB" w:rsidP="00B241A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CB">
        <w:rPr>
          <w:rFonts w:ascii="Times New Roman" w:hAnsi="Times New Roman" w:cs="Times New Roman"/>
          <w:b/>
          <w:bCs/>
          <w:sz w:val="24"/>
          <w:szCs w:val="24"/>
        </w:rPr>
        <w:t>Résult</w:t>
      </w:r>
      <w:r w:rsidRPr="008138CB">
        <w:rPr>
          <w:rFonts w:ascii="Times New Roman" w:hAnsi="Times New Roman" w:cs="Times New Roman"/>
          <w:sz w:val="24"/>
          <w:szCs w:val="24"/>
        </w:rPr>
        <w:t>at : les indices de concentration selon le statut de richesse sont passés de 0,504 à 0,388 et à 0,144 en 2003, 2010 et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8CB">
        <w:rPr>
          <w:rFonts w:ascii="Times New Roman" w:hAnsi="Times New Roman" w:cs="Times New Roman"/>
          <w:sz w:val="24"/>
          <w:szCs w:val="24"/>
        </w:rPr>
        <w:t xml:space="preserve">respectivement. Tandis que ceux </w:t>
      </w:r>
      <w:r>
        <w:rPr>
          <w:rFonts w:ascii="Times New Roman" w:hAnsi="Times New Roman" w:cs="Times New Roman"/>
          <w:sz w:val="24"/>
          <w:szCs w:val="24"/>
        </w:rPr>
        <w:t>selon le niveau d</w:t>
      </w:r>
      <w:r w:rsidRPr="008138CB">
        <w:rPr>
          <w:rFonts w:ascii="Times New Roman" w:hAnsi="Times New Roman" w:cs="Times New Roman"/>
          <w:sz w:val="24"/>
          <w:szCs w:val="24"/>
        </w:rPr>
        <w:t>’éducation estimé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138CB">
        <w:rPr>
          <w:rFonts w:ascii="Times New Roman" w:hAnsi="Times New Roman" w:cs="Times New Roman"/>
          <w:sz w:val="24"/>
          <w:szCs w:val="24"/>
        </w:rPr>
        <w:t xml:space="preserve"> pour ces années étaient de 0,354, 0,285 et à 0,109 respectivement.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8138CB">
        <w:rPr>
          <w:rFonts w:ascii="Times New Roman" w:hAnsi="Times New Roman" w:cs="Times New Roman"/>
          <w:sz w:val="24"/>
          <w:szCs w:val="24"/>
        </w:rPr>
        <w:t xml:space="preserve">a richesse du ménage (25,63%), le milieu de résidence (17,05%), l’éducation de la femme (15,13%), la distance de l’établissement de santé (12,45%) et l’exposition aux médias (12,15%) </w:t>
      </w:r>
      <w:r>
        <w:rPr>
          <w:rFonts w:ascii="Times New Roman" w:hAnsi="Times New Roman" w:cs="Times New Roman"/>
          <w:sz w:val="24"/>
          <w:szCs w:val="24"/>
        </w:rPr>
        <w:t>expliquaient les inégalités socio-économiques</w:t>
      </w:r>
      <w:r w:rsidRPr="008138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CFAED" w14:textId="66215F86" w:rsidR="00B241AB" w:rsidRPr="008138CB" w:rsidRDefault="00B241AB" w:rsidP="00B241A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CB">
        <w:rPr>
          <w:rFonts w:ascii="Times New Roman" w:hAnsi="Times New Roman" w:cs="Times New Roman"/>
          <w:b/>
          <w:bCs/>
          <w:sz w:val="24"/>
          <w:szCs w:val="24"/>
        </w:rPr>
        <w:t>Conclusion </w:t>
      </w:r>
      <w:r w:rsidRPr="008138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Les politiques mises en œuvre ont permis une augmentation de la prévalence contraceptive et dans le même temps, une réduction des </w:t>
      </w:r>
      <w:r w:rsidRPr="008138CB">
        <w:rPr>
          <w:rFonts w:ascii="Times New Roman" w:hAnsi="Times New Roman" w:cs="Times New Roman"/>
          <w:sz w:val="24"/>
          <w:szCs w:val="24"/>
        </w:rPr>
        <w:t xml:space="preserve">inégalités liées à la richesse et à l’éducation. </w:t>
      </w:r>
    </w:p>
    <w:p w14:paraId="24B31F61" w14:textId="01087B01" w:rsidR="00B241AB" w:rsidRPr="008138CB" w:rsidRDefault="00B241AB" w:rsidP="00B241A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8CB">
        <w:rPr>
          <w:rFonts w:ascii="Times New Roman" w:hAnsi="Times New Roman" w:cs="Times New Roman"/>
          <w:b/>
          <w:bCs/>
          <w:sz w:val="24"/>
          <w:szCs w:val="24"/>
        </w:rPr>
        <w:t>Mots clés</w:t>
      </w:r>
      <w:r w:rsidRPr="008138CB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Planification familiale</w:t>
      </w:r>
      <w:r w:rsidRPr="008138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équité</w:t>
      </w:r>
      <w:r w:rsidRPr="008138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138CB">
        <w:rPr>
          <w:rFonts w:ascii="Times New Roman" w:hAnsi="Times New Roman" w:cs="Times New Roman"/>
          <w:sz w:val="24"/>
          <w:szCs w:val="24"/>
        </w:rPr>
        <w:t xml:space="preserve">ndice de concentration, </w:t>
      </w:r>
      <w:r>
        <w:rPr>
          <w:rFonts w:ascii="Times New Roman" w:hAnsi="Times New Roman" w:cs="Times New Roman"/>
          <w:sz w:val="24"/>
          <w:szCs w:val="24"/>
        </w:rPr>
        <w:t xml:space="preserve">analyse de </w:t>
      </w:r>
      <w:r w:rsidRPr="008138CB">
        <w:rPr>
          <w:rFonts w:ascii="Times New Roman" w:hAnsi="Times New Roman" w:cs="Times New Roman"/>
          <w:sz w:val="24"/>
          <w:szCs w:val="24"/>
        </w:rPr>
        <w:t>décomposition</w:t>
      </w:r>
    </w:p>
    <w:p w14:paraId="4B5DAD11" w14:textId="77777777" w:rsidR="007802BB" w:rsidRDefault="007802BB"/>
    <w:sectPr w:rsidR="007802BB" w:rsidSect="00923D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AB"/>
    <w:rsid w:val="001E0838"/>
    <w:rsid w:val="00286C41"/>
    <w:rsid w:val="003A543E"/>
    <w:rsid w:val="004C01A9"/>
    <w:rsid w:val="0053611F"/>
    <w:rsid w:val="007802BB"/>
    <w:rsid w:val="00923D3E"/>
    <w:rsid w:val="00A103C3"/>
    <w:rsid w:val="00AA237A"/>
    <w:rsid w:val="00B241AB"/>
    <w:rsid w:val="00B55DB5"/>
    <w:rsid w:val="00DE4AE4"/>
    <w:rsid w:val="00E213C4"/>
    <w:rsid w:val="00E6405F"/>
    <w:rsid w:val="00ED7B6C"/>
    <w:rsid w:val="00F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D4798E"/>
  <w15:chartTrackingRefBased/>
  <w15:docId w15:val="{4E8E4BDE-5C51-8549-ABAA-72EF27B1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Corps CS)"/>
        <w:kern w:val="2"/>
        <w:sz w:val="24"/>
        <w:szCs w:val="24"/>
        <w:lang w:val="fr-BF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AB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241A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F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41A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41A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BF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41A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BF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41A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BF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41A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BF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1A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BF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41A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BF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41A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BF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4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4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41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41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41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41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41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41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41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F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2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41A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F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241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41AB"/>
    <w:pPr>
      <w:spacing w:before="160" w:line="240" w:lineRule="auto"/>
      <w:jc w:val="center"/>
    </w:pPr>
    <w:rPr>
      <w:rFonts w:ascii="Cambria" w:hAnsi="Cambria" w:cs="Times New Roman (Corps CS)"/>
      <w:i/>
      <w:iCs/>
      <w:color w:val="404040" w:themeColor="text1" w:themeTint="BF"/>
      <w:kern w:val="2"/>
      <w:sz w:val="24"/>
      <w:szCs w:val="24"/>
      <w:lang w:val="fr-BF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241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41AB"/>
    <w:pPr>
      <w:spacing w:after="0" w:line="240" w:lineRule="auto"/>
      <w:ind w:left="720"/>
      <w:contextualSpacing/>
    </w:pPr>
    <w:rPr>
      <w:rFonts w:ascii="Cambria" w:hAnsi="Cambria" w:cs="Times New Roman (Corps CS)"/>
      <w:kern w:val="2"/>
      <w:sz w:val="24"/>
      <w:szCs w:val="24"/>
      <w:lang w:val="fr-BF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241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mbria" w:hAnsi="Cambria" w:cs="Times New Roman (Corps CS)"/>
      <w:i/>
      <w:iCs/>
      <w:color w:val="0F4761" w:themeColor="accent1" w:themeShade="BF"/>
      <w:kern w:val="2"/>
      <w:sz w:val="24"/>
      <w:szCs w:val="24"/>
      <w:lang w:val="fr-BF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41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4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Tieba MILLOGO</dc:creator>
  <cp:keywords/>
  <dc:description/>
  <cp:lastModifiedBy>Tieba MILLOGO</cp:lastModifiedBy>
  <cp:revision>2</cp:revision>
  <dcterms:created xsi:type="dcterms:W3CDTF">2025-06-30T16:25:00Z</dcterms:created>
  <dcterms:modified xsi:type="dcterms:W3CDTF">2025-06-30T16:52:00Z</dcterms:modified>
</cp:coreProperties>
</file>