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3EC2" w14:textId="2EF49A05" w:rsidR="003A377B" w:rsidRPr="0097706A" w:rsidRDefault="003A377B" w:rsidP="0097706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7706A">
        <w:rPr>
          <w:rFonts w:ascii="Arial" w:hAnsi="Arial" w:cs="Arial"/>
          <w:b/>
          <w:bCs/>
          <w:sz w:val="22"/>
          <w:szCs w:val="22"/>
        </w:rPr>
        <w:t xml:space="preserve">Les troubles liés à l’usage des jeux de hasard et d’argent chez les adolescents et jeunes en Afrique subsaharienne : </w:t>
      </w:r>
      <w:r w:rsidR="007564C7" w:rsidRPr="0097706A">
        <w:rPr>
          <w:rFonts w:ascii="Arial" w:hAnsi="Arial" w:cs="Arial"/>
          <w:b/>
          <w:bCs/>
          <w:sz w:val="22"/>
          <w:szCs w:val="22"/>
        </w:rPr>
        <w:t>Analyse exploratoire des</w:t>
      </w:r>
      <w:r w:rsidRPr="0097706A">
        <w:rPr>
          <w:rFonts w:ascii="Arial" w:hAnsi="Arial" w:cs="Arial"/>
          <w:b/>
          <w:bCs/>
          <w:sz w:val="22"/>
          <w:szCs w:val="22"/>
        </w:rPr>
        <w:t xml:space="preserve"> facteurs associés </w:t>
      </w:r>
      <w:r w:rsidR="007564C7" w:rsidRPr="0097706A">
        <w:rPr>
          <w:rFonts w:ascii="Arial" w:hAnsi="Arial" w:cs="Arial"/>
          <w:b/>
          <w:bCs/>
          <w:sz w:val="22"/>
          <w:szCs w:val="22"/>
        </w:rPr>
        <w:t xml:space="preserve">en milieu scolaire </w:t>
      </w:r>
      <w:r w:rsidRPr="0097706A">
        <w:rPr>
          <w:rFonts w:ascii="Arial" w:hAnsi="Arial" w:cs="Arial"/>
          <w:b/>
          <w:bCs/>
          <w:sz w:val="22"/>
          <w:szCs w:val="22"/>
        </w:rPr>
        <w:t>au Bénin en 2024</w:t>
      </w:r>
    </w:p>
    <w:p w14:paraId="7B45FED2" w14:textId="0C8EA597" w:rsidR="003A377B" w:rsidRPr="0097706A" w:rsidRDefault="003A377B" w:rsidP="00095F91">
      <w:pPr>
        <w:tabs>
          <w:tab w:val="left" w:pos="2835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06A">
        <w:rPr>
          <w:rFonts w:ascii="Arial" w:hAnsi="Arial" w:cs="Arial"/>
          <w:sz w:val="22"/>
          <w:szCs w:val="22"/>
          <w:u w:val="single"/>
        </w:rPr>
        <w:t xml:space="preserve">Chabi </w:t>
      </w:r>
      <w:proofErr w:type="spellStart"/>
      <w:r w:rsidRPr="0097706A">
        <w:rPr>
          <w:rFonts w:ascii="Arial" w:hAnsi="Arial" w:cs="Arial"/>
          <w:sz w:val="22"/>
          <w:szCs w:val="22"/>
          <w:u w:val="single"/>
        </w:rPr>
        <w:t>Olaniran</w:t>
      </w:r>
      <w:proofErr w:type="spellEnd"/>
      <w:r w:rsidRPr="0097706A">
        <w:rPr>
          <w:rFonts w:ascii="Arial" w:hAnsi="Arial" w:cs="Arial"/>
          <w:sz w:val="22"/>
          <w:szCs w:val="22"/>
          <w:u w:val="single"/>
        </w:rPr>
        <w:t xml:space="preserve"> Alphonse Biaou</w:t>
      </w:r>
      <w:r w:rsidRPr="0097706A">
        <w:rPr>
          <w:rFonts w:ascii="Arial" w:hAnsi="Arial" w:cs="Arial"/>
          <w:sz w:val="22"/>
          <w:szCs w:val="22"/>
          <w:vertAlign w:val="superscript"/>
        </w:rPr>
        <w:t>1,2</w:t>
      </w:r>
      <w:r w:rsidRPr="0097706A">
        <w:rPr>
          <w:rFonts w:ascii="Arial" w:hAnsi="Arial" w:cs="Arial"/>
          <w:sz w:val="22"/>
          <w:szCs w:val="22"/>
        </w:rPr>
        <w:t xml:space="preserve">, Yolaine </w:t>
      </w:r>
      <w:proofErr w:type="spellStart"/>
      <w:r w:rsidRPr="0097706A">
        <w:rPr>
          <w:rFonts w:ascii="Arial" w:hAnsi="Arial" w:cs="Arial"/>
          <w:sz w:val="22"/>
          <w:szCs w:val="22"/>
        </w:rPr>
        <w:t>Glèlè</w:t>
      </w:r>
      <w:proofErr w:type="spellEnd"/>
      <w:r w:rsidRPr="0097706A">
        <w:rPr>
          <w:rFonts w:ascii="Arial" w:hAnsi="Arial" w:cs="Arial"/>
          <w:sz w:val="22"/>
          <w:szCs w:val="22"/>
        </w:rPr>
        <w:t xml:space="preserve"> Ahanhanzo</w:t>
      </w:r>
      <w:r w:rsidRPr="0097706A">
        <w:rPr>
          <w:rFonts w:ascii="Arial" w:hAnsi="Arial" w:cs="Arial"/>
          <w:sz w:val="22"/>
          <w:szCs w:val="22"/>
          <w:vertAlign w:val="superscript"/>
        </w:rPr>
        <w:t>3</w:t>
      </w:r>
      <w:r w:rsidRPr="009770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06A">
        <w:rPr>
          <w:rFonts w:ascii="Arial" w:hAnsi="Arial" w:cs="Arial"/>
          <w:sz w:val="22"/>
          <w:szCs w:val="22"/>
        </w:rPr>
        <w:t>Smaïla</w:t>
      </w:r>
      <w:proofErr w:type="spellEnd"/>
      <w:r w:rsidRPr="0097706A">
        <w:rPr>
          <w:rFonts w:ascii="Arial" w:hAnsi="Arial" w:cs="Arial"/>
          <w:sz w:val="22"/>
          <w:szCs w:val="22"/>
        </w:rPr>
        <w:t xml:space="preserve"> Ouedraogo</w:t>
      </w:r>
      <w:r w:rsidR="00C9192B">
        <w:rPr>
          <w:rFonts w:ascii="Arial" w:hAnsi="Arial" w:cs="Arial"/>
          <w:sz w:val="22"/>
          <w:szCs w:val="22"/>
          <w:vertAlign w:val="superscript"/>
        </w:rPr>
        <w:t>4</w:t>
      </w:r>
      <w:r w:rsidRPr="0097706A">
        <w:rPr>
          <w:rFonts w:ascii="Arial" w:hAnsi="Arial" w:cs="Arial"/>
          <w:sz w:val="22"/>
          <w:szCs w:val="22"/>
        </w:rPr>
        <w:t>, Blaise A. Choki</w:t>
      </w:r>
      <w:r w:rsidR="00042359" w:rsidRPr="0097706A">
        <w:rPr>
          <w:rFonts w:ascii="Arial" w:hAnsi="Arial" w:cs="Arial"/>
          <w:sz w:val="22"/>
          <w:szCs w:val="22"/>
          <w:vertAlign w:val="superscript"/>
        </w:rPr>
        <w:t>1</w:t>
      </w:r>
      <w:r w:rsidRPr="0097706A">
        <w:rPr>
          <w:rFonts w:ascii="Arial" w:hAnsi="Arial" w:cs="Arial"/>
          <w:sz w:val="22"/>
          <w:szCs w:val="22"/>
        </w:rPr>
        <w:t>, Rolande Kikissagbé</w:t>
      </w:r>
      <w:r w:rsidR="00C9192B">
        <w:rPr>
          <w:rFonts w:ascii="Arial" w:hAnsi="Arial" w:cs="Arial"/>
          <w:sz w:val="22"/>
          <w:szCs w:val="22"/>
          <w:vertAlign w:val="superscript"/>
        </w:rPr>
        <w:t>5</w:t>
      </w:r>
      <w:r w:rsidRPr="0097706A">
        <w:rPr>
          <w:rFonts w:ascii="Arial" w:hAnsi="Arial" w:cs="Arial"/>
          <w:sz w:val="22"/>
          <w:szCs w:val="22"/>
        </w:rPr>
        <w:t>,</w:t>
      </w:r>
      <w:r w:rsidR="00620F3E">
        <w:rPr>
          <w:rFonts w:ascii="Arial" w:hAnsi="Arial" w:cs="Arial"/>
          <w:sz w:val="22"/>
          <w:szCs w:val="22"/>
        </w:rPr>
        <w:t xml:space="preserve"> </w:t>
      </w:r>
      <w:r w:rsidRPr="0097706A">
        <w:rPr>
          <w:rFonts w:ascii="Arial" w:hAnsi="Arial" w:cs="Arial"/>
          <w:sz w:val="22"/>
          <w:szCs w:val="22"/>
        </w:rPr>
        <w:t>Tanguy</w:t>
      </w:r>
      <w:r w:rsidR="00620F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706A">
        <w:rPr>
          <w:rFonts w:ascii="Arial" w:hAnsi="Arial" w:cs="Arial"/>
          <w:sz w:val="22"/>
          <w:szCs w:val="22"/>
        </w:rPr>
        <w:t>Dansou</w:t>
      </w:r>
      <w:proofErr w:type="spellEnd"/>
      <w:r w:rsidRPr="0097706A">
        <w:rPr>
          <w:rFonts w:ascii="Arial" w:hAnsi="Arial" w:cs="Arial"/>
          <w:sz w:val="22"/>
          <w:szCs w:val="22"/>
        </w:rPr>
        <w:t xml:space="preserve"> Sonou</w:t>
      </w:r>
      <w:r w:rsidR="00C9192B">
        <w:rPr>
          <w:rFonts w:ascii="Arial" w:hAnsi="Arial" w:cs="Arial"/>
          <w:sz w:val="22"/>
          <w:szCs w:val="22"/>
          <w:vertAlign w:val="superscript"/>
        </w:rPr>
        <w:t>5</w:t>
      </w:r>
      <w:r w:rsidRPr="0097706A">
        <w:rPr>
          <w:rFonts w:ascii="Arial" w:hAnsi="Arial" w:cs="Arial"/>
          <w:sz w:val="22"/>
          <w:szCs w:val="22"/>
        </w:rPr>
        <w:t xml:space="preserve">, </w:t>
      </w:r>
      <w:r w:rsidR="0045757E" w:rsidRPr="0097706A">
        <w:rPr>
          <w:rFonts w:ascii="Arial" w:hAnsi="Arial" w:cs="Arial"/>
          <w:sz w:val="22"/>
          <w:szCs w:val="22"/>
        </w:rPr>
        <w:t>Deneuve Yamadjako</w:t>
      </w:r>
      <w:r w:rsidR="006C6554" w:rsidRPr="006C6554">
        <w:rPr>
          <w:rFonts w:ascii="Arial" w:hAnsi="Arial" w:cs="Arial"/>
          <w:sz w:val="22"/>
          <w:szCs w:val="22"/>
          <w:vertAlign w:val="superscript"/>
        </w:rPr>
        <w:t>6</w:t>
      </w:r>
      <w:r w:rsidR="0045757E" w:rsidRPr="0097706A">
        <w:rPr>
          <w:rFonts w:ascii="Arial" w:hAnsi="Arial" w:cs="Arial"/>
          <w:sz w:val="22"/>
          <w:szCs w:val="22"/>
        </w:rPr>
        <w:t>, Dominique Gnimavo</w:t>
      </w:r>
      <w:r w:rsidR="006C6554" w:rsidRPr="006C6554">
        <w:rPr>
          <w:rFonts w:ascii="Arial" w:hAnsi="Arial" w:cs="Arial"/>
          <w:sz w:val="22"/>
          <w:szCs w:val="22"/>
          <w:vertAlign w:val="superscript"/>
        </w:rPr>
        <w:t>2</w:t>
      </w:r>
      <w:r w:rsidR="0045757E" w:rsidRPr="0097706A">
        <w:rPr>
          <w:rFonts w:ascii="Arial" w:hAnsi="Arial" w:cs="Arial"/>
          <w:sz w:val="22"/>
          <w:szCs w:val="22"/>
        </w:rPr>
        <w:t>,</w:t>
      </w:r>
    </w:p>
    <w:p w14:paraId="474DAF35" w14:textId="77777777" w:rsidR="003A377B" w:rsidRPr="00095F91" w:rsidRDefault="003A377B" w:rsidP="00F43A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095F91">
        <w:rPr>
          <w:rFonts w:ascii="Arial" w:eastAsia="Times New Roman" w:hAnsi="Arial" w:cs="Arial"/>
          <w:i/>
          <w:iCs/>
          <w:sz w:val="16"/>
          <w:szCs w:val="16"/>
          <w:vertAlign w:val="superscript"/>
        </w:rPr>
        <w:t>1</w:t>
      </w:r>
      <w:r w:rsidRPr="00095F91">
        <w:rPr>
          <w:rFonts w:ascii="Arial" w:eastAsia="Times New Roman" w:hAnsi="Arial" w:cs="Arial"/>
          <w:i/>
          <w:iCs/>
          <w:sz w:val="16"/>
          <w:szCs w:val="16"/>
        </w:rPr>
        <w:t>Université d’Abomey-Calavi, Ecole Doctorale des Sciences de la Santé, Cotonou, Bénin</w:t>
      </w:r>
    </w:p>
    <w:p w14:paraId="0A4753E8" w14:textId="77777777" w:rsidR="003A377B" w:rsidRPr="00095F91" w:rsidRDefault="003A377B" w:rsidP="00F43A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095F91">
        <w:rPr>
          <w:rFonts w:ascii="Arial" w:eastAsia="Times New Roman" w:hAnsi="Arial" w:cs="Arial"/>
          <w:b/>
          <w:bCs/>
          <w:i/>
          <w:iCs/>
          <w:sz w:val="16"/>
          <w:szCs w:val="16"/>
          <w:vertAlign w:val="superscript"/>
        </w:rPr>
        <w:t>2</w:t>
      </w:r>
      <w:r w:rsidRPr="00095F91">
        <w:rPr>
          <w:rFonts w:ascii="Arial" w:eastAsia="Times New Roman" w:hAnsi="Arial" w:cs="Arial"/>
          <w:i/>
          <w:iCs/>
          <w:sz w:val="16"/>
          <w:szCs w:val="16"/>
        </w:rPr>
        <w:t xml:space="preserve">Ministère de la Santé du Bénin, Direction Départementale de la santé des collines, </w:t>
      </w:r>
      <w:proofErr w:type="spellStart"/>
      <w:r w:rsidRPr="00095F91">
        <w:rPr>
          <w:rFonts w:ascii="Arial" w:eastAsia="Times New Roman" w:hAnsi="Arial" w:cs="Arial"/>
          <w:i/>
          <w:iCs/>
          <w:sz w:val="16"/>
          <w:szCs w:val="16"/>
        </w:rPr>
        <w:t>Dassa-Zoumé</w:t>
      </w:r>
      <w:proofErr w:type="spellEnd"/>
      <w:r w:rsidRPr="00095F91">
        <w:rPr>
          <w:rFonts w:ascii="Arial" w:eastAsia="Times New Roman" w:hAnsi="Arial" w:cs="Arial"/>
          <w:i/>
          <w:iCs/>
          <w:sz w:val="16"/>
          <w:szCs w:val="16"/>
        </w:rPr>
        <w:t>, Bénin</w:t>
      </w:r>
    </w:p>
    <w:p w14:paraId="6D6AA1FA" w14:textId="77777777" w:rsidR="003A377B" w:rsidRPr="00095F91" w:rsidRDefault="003A377B" w:rsidP="00F43A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095F91">
        <w:rPr>
          <w:rFonts w:ascii="Arial" w:eastAsia="Times New Roman" w:hAnsi="Arial" w:cs="Arial"/>
          <w:i/>
          <w:iCs/>
          <w:sz w:val="16"/>
          <w:szCs w:val="16"/>
          <w:vertAlign w:val="superscript"/>
        </w:rPr>
        <w:t>3</w:t>
      </w:r>
      <w:r w:rsidRPr="00095F91">
        <w:rPr>
          <w:rFonts w:ascii="Arial" w:eastAsia="Times New Roman" w:hAnsi="Arial" w:cs="Arial"/>
          <w:i/>
          <w:iCs/>
          <w:sz w:val="16"/>
          <w:szCs w:val="16"/>
        </w:rPr>
        <w:t>Université d’Abomey-Calavi, Institut Régional de Santé publique, Ouidah, Bénin</w:t>
      </w:r>
    </w:p>
    <w:p w14:paraId="38523692" w14:textId="50518733" w:rsidR="003A377B" w:rsidRPr="00095F91" w:rsidRDefault="006C6554" w:rsidP="00F43A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</w:rPr>
        <w:t>4</w:t>
      </w:r>
      <w:r w:rsidR="003A377B" w:rsidRPr="00095F91">
        <w:rPr>
          <w:rFonts w:ascii="Arial" w:hAnsi="Arial" w:cs="Arial"/>
          <w:sz w:val="16"/>
          <w:szCs w:val="16"/>
        </w:rPr>
        <w:t xml:space="preserve"> </w:t>
      </w:r>
      <w:r w:rsidR="003A377B" w:rsidRPr="00095F91">
        <w:rPr>
          <w:rFonts w:ascii="Arial" w:eastAsia="Times New Roman" w:hAnsi="Arial" w:cs="Arial"/>
          <w:i/>
          <w:iCs/>
          <w:sz w:val="16"/>
          <w:szCs w:val="16"/>
        </w:rPr>
        <w:t>Université Joseph Ki-Zerbo, Unité de formation et de recherche en sciences de la santé, Ouagadougou, Burkina Faso</w:t>
      </w:r>
    </w:p>
    <w:p w14:paraId="45043DFB" w14:textId="53788B67" w:rsidR="003A377B" w:rsidRDefault="003E0033" w:rsidP="00F43A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</w:rPr>
        <w:t>5</w:t>
      </w:r>
      <w:r w:rsidR="003A377B" w:rsidRPr="00095F91">
        <w:rPr>
          <w:rFonts w:ascii="Arial" w:eastAsia="Times New Roman" w:hAnsi="Arial" w:cs="Arial"/>
          <w:i/>
          <w:iCs/>
          <w:sz w:val="16"/>
          <w:szCs w:val="16"/>
        </w:rPr>
        <w:t>Université de Parakou, Ecole Nationale des Techniciens Supérieurs en Santé Publique et en Surveillance Epidémiologique, Parakou, Bénin</w:t>
      </w:r>
    </w:p>
    <w:p w14:paraId="0CC8E650" w14:textId="205F72CF" w:rsidR="003E0033" w:rsidRPr="00095F91" w:rsidRDefault="003E0033" w:rsidP="003E00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095F91">
        <w:rPr>
          <w:rFonts w:ascii="Arial" w:eastAsia="Times New Roman" w:hAnsi="Arial" w:cs="Arial"/>
          <w:b/>
          <w:bCs/>
          <w:i/>
          <w:iCs/>
          <w:sz w:val="16"/>
          <w:szCs w:val="16"/>
          <w:vertAlign w:val="superscript"/>
        </w:rPr>
        <w:t>2</w:t>
      </w:r>
      <w:r w:rsidRPr="00095F91">
        <w:rPr>
          <w:rFonts w:ascii="Arial" w:eastAsia="Times New Roman" w:hAnsi="Arial" w:cs="Arial"/>
          <w:i/>
          <w:iCs/>
          <w:sz w:val="16"/>
          <w:szCs w:val="16"/>
        </w:rPr>
        <w:t xml:space="preserve">Ministère de la Santé du Bénin, 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Bureau de la zone sanitaire </w:t>
      </w:r>
      <w:proofErr w:type="spellStart"/>
      <w:r>
        <w:rPr>
          <w:rFonts w:ascii="Arial" w:eastAsia="Times New Roman" w:hAnsi="Arial" w:cs="Arial"/>
          <w:i/>
          <w:iCs/>
          <w:sz w:val="16"/>
          <w:szCs w:val="16"/>
        </w:rPr>
        <w:t>Dassa-Zoumé</w:t>
      </w:r>
      <w:proofErr w:type="spellEnd"/>
      <w:r>
        <w:rPr>
          <w:rFonts w:ascii="Arial" w:eastAsia="Times New Roman" w:hAnsi="Arial" w:cs="Arial"/>
          <w:i/>
          <w:iCs/>
          <w:sz w:val="16"/>
          <w:szCs w:val="16"/>
        </w:rPr>
        <w:t>/</w:t>
      </w:r>
      <w:proofErr w:type="spellStart"/>
      <w:r>
        <w:rPr>
          <w:rFonts w:ascii="Arial" w:eastAsia="Times New Roman" w:hAnsi="Arial" w:cs="Arial"/>
          <w:i/>
          <w:iCs/>
          <w:sz w:val="16"/>
          <w:szCs w:val="16"/>
        </w:rPr>
        <w:t>Glazoué</w:t>
      </w:r>
      <w:proofErr w:type="spellEnd"/>
      <w:r w:rsidRPr="00095F91">
        <w:rPr>
          <w:rFonts w:ascii="Arial" w:eastAsia="Times New Roman" w:hAnsi="Arial" w:cs="Arial"/>
          <w:i/>
          <w:iCs/>
          <w:sz w:val="16"/>
          <w:szCs w:val="16"/>
        </w:rPr>
        <w:t xml:space="preserve">, </w:t>
      </w:r>
      <w:proofErr w:type="spellStart"/>
      <w:r w:rsidRPr="00095F91">
        <w:rPr>
          <w:rFonts w:ascii="Arial" w:eastAsia="Times New Roman" w:hAnsi="Arial" w:cs="Arial"/>
          <w:i/>
          <w:iCs/>
          <w:sz w:val="16"/>
          <w:szCs w:val="16"/>
        </w:rPr>
        <w:t>Dassa-Zoumé</w:t>
      </w:r>
      <w:proofErr w:type="spellEnd"/>
      <w:r w:rsidRPr="00095F91">
        <w:rPr>
          <w:rFonts w:ascii="Arial" w:eastAsia="Times New Roman" w:hAnsi="Arial" w:cs="Arial"/>
          <w:i/>
          <w:iCs/>
          <w:sz w:val="16"/>
          <w:szCs w:val="16"/>
        </w:rPr>
        <w:t>, Bénin</w:t>
      </w:r>
    </w:p>
    <w:p w14:paraId="346B82F3" w14:textId="77777777" w:rsidR="003E0033" w:rsidRDefault="003E0033" w:rsidP="0097706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ED7A0B" w14:textId="5EA06C2E" w:rsidR="00961D48" w:rsidRDefault="003A377B" w:rsidP="00977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706A">
        <w:rPr>
          <w:rFonts w:ascii="Arial" w:hAnsi="Arial" w:cs="Arial"/>
          <w:b/>
          <w:bCs/>
          <w:sz w:val="22"/>
          <w:szCs w:val="22"/>
        </w:rPr>
        <w:t>Contexte</w:t>
      </w:r>
      <w:r w:rsidRPr="0097706A">
        <w:rPr>
          <w:rFonts w:ascii="Arial" w:hAnsi="Arial" w:cs="Arial"/>
          <w:sz w:val="22"/>
          <w:szCs w:val="22"/>
        </w:rPr>
        <w:t> : L’essor rapide des jeux de hasard et d’argent (JHA) en Afrique subsaharienne soulève des préoccupations croissantes en raison des troubles qu’ils peuvent engendrer</w:t>
      </w:r>
      <w:r w:rsidR="00433700">
        <w:rPr>
          <w:rFonts w:ascii="Arial" w:hAnsi="Arial" w:cs="Arial"/>
          <w:sz w:val="22"/>
          <w:szCs w:val="22"/>
        </w:rPr>
        <w:t>, mais également des s</w:t>
      </w:r>
      <w:r w:rsidR="006F09CA">
        <w:rPr>
          <w:rFonts w:ascii="Arial" w:hAnsi="Arial" w:cs="Arial"/>
          <w:sz w:val="22"/>
          <w:szCs w:val="22"/>
        </w:rPr>
        <w:t>tratégies de prévention et de prise en charge contextualisés.</w:t>
      </w:r>
    </w:p>
    <w:p w14:paraId="4BFCF3C9" w14:textId="75CFB2D8" w:rsidR="003A377B" w:rsidRPr="0097706A" w:rsidRDefault="00961D48" w:rsidP="00977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FCE">
        <w:rPr>
          <w:rFonts w:ascii="Arial" w:hAnsi="Arial" w:cs="Arial"/>
          <w:b/>
          <w:bCs/>
          <w:sz w:val="22"/>
          <w:szCs w:val="22"/>
        </w:rPr>
        <w:t>Objectifs</w:t>
      </w:r>
      <w:r>
        <w:rPr>
          <w:rFonts w:ascii="Arial" w:hAnsi="Arial" w:cs="Arial"/>
          <w:sz w:val="22"/>
          <w:szCs w:val="22"/>
        </w:rPr>
        <w:t xml:space="preserve"> : </w:t>
      </w:r>
      <w:r w:rsidR="00D909D9">
        <w:rPr>
          <w:rFonts w:ascii="Arial" w:hAnsi="Arial" w:cs="Arial"/>
          <w:sz w:val="22"/>
          <w:szCs w:val="22"/>
        </w:rPr>
        <w:t>Etudier les</w:t>
      </w:r>
      <w:r w:rsidR="003A377B" w:rsidRPr="0097706A">
        <w:rPr>
          <w:rFonts w:ascii="Arial" w:hAnsi="Arial" w:cs="Arial"/>
          <w:sz w:val="22"/>
          <w:szCs w:val="22"/>
        </w:rPr>
        <w:t xml:space="preserve"> déterminants </w:t>
      </w:r>
      <w:r w:rsidR="00D909D9">
        <w:rPr>
          <w:rFonts w:ascii="Arial" w:hAnsi="Arial" w:cs="Arial"/>
          <w:sz w:val="22"/>
          <w:szCs w:val="22"/>
        </w:rPr>
        <w:t xml:space="preserve">des troubles </w:t>
      </w:r>
      <w:r w:rsidR="00433700">
        <w:rPr>
          <w:rFonts w:ascii="Arial" w:hAnsi="Arial" w:cs="Arial"/>
          <w:sz w:val="22"/>
          <w:szCs w:val="22"/>
        </w:rPr>
        <w:t xml:space="preserve">liés à la pratique des JHA </w:t>
      </w:r>
      <w:r w:rsidR="003A377B" w:rsidRPr="0097706A">
        <w:rPr>
          <w:rFonts w:ascii="Arial" w:hAnsi="Arial" w:cs="Arial"/>
          <w:sz w:val="22"/>
          <w:szCs w:val="22"/>
        </w:rPr>
        <w:t>chez les adolescents et les jeunes</w:t>
      </w:r>
      <w:r w:rsidR="0077530C">
        <w:rPr>
          <w:rFonts w:ascii="Arial" w:hAnsi="Arial" w:cs="Arial"/>
          <w:sz w:val="22"/>
          <w:szCs w:val="22"/>
        </w:rPr>
        <w:t xml:space="preserve"> en milieu scolaire au Bénin</w:t>
      </w:r>
      <w:r w:rsidR="003A377B" w:rsidRPr="0097706A">
        <w:rPr>
          <w:rFonts w:ascii="Arial" w:hAnsi="Arial" w:cs="Arial"/>
          <w:sz w:val="22"/>
          <w:szCs w:val="22"/>
        </w:rPr>
        <w:t>.</w:t>
      </w:r>
    </w:p>
    <w:p w14:paraId="42214734" w14:textId="3C0D0167" w:rsidR="003A377B" w:rsidRPr="0097706A" w:rsidRDefault="003A377B" w:rsidP="0097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7706A">
        <w:rPr>
          <w:rFonts w:ascii="Arial" w:hAnsi="Arial" w:cs="Arial"/>
          <w:b/>
          <w:bCs/>
          <w:sz w:val="22"/>
          <w:szCs w:val="22"/>
        </w:rPr>
        <w:t>Méthode</w:t>
      </w:r>
      <w:r w:rsidRPr="0097706A">
        <w:rPr>
          <w:rFonts w:ascii="Arial" w:hAnsi="Arial" w:cs="Arial"/>
          <w:sz w:val="22"/>
          <w:szCs w:val="22"/>
        </w:rPr>
        <w:t xml:space="preserve"> : Il s'agit d'une étude transversale mixte menée d’octobre à décembre 2024 auprès des élèves des établissements scolaires de trois villes du Bénin. Les données ont été collectées à l'aide d'un questionnaire auto-administré, intégrant les critères diagnostiques du </w:t>
      </w:r>
      <w:r w:rsidRPr="0097706A">
        <w:rPr>
          <w:rFonts w:ascii="Arial" w:hAnsi="Arial" w:cs="Arial"/>
          <w:i/>
          <w:iCs/>
          <w:sz w:val="22"/>
          <w:szCs w:val="22"/>
        </w:rPr>
        <w:t>Manuel diagnostique et statistique des troubles mentaux, (DSM-5)</w:t>
      </w:r>
      <w:r w:rsidR="0074451A" w:rsidRPr="0097706A">
        <w:rPr>
          <w:rFonts w:ascii="Arial" w:hAnsi="Arial" w:cs="Arial"/>
          <w:sz w:val="22"/>
          <w:szCs w:val="22"/>
        </w:rPr>
        <w:t xml:space="preserve">. </w:t>
      </w:r>
      <w:r w:rsidRPr="0097706A">
        <w:rPr>
          <w:rFonts w:ascii="Arial" w:hAnsi="Arial" w:cs="Arial"/>
          <w:sz w:val="22"/>
          <w:szCs w:val="22"/>
        </w:rPr>
        <w:t xml:space="preserve">Un modèle de régression logistique a été utilisé pour identifier les facteurs associés au seuil de 5 %. </w:t>
      </w:r>
    </w:p>
    <w:p w14:paraId="11B55FEC" w14:textId="6B3AD41B" w:rsidR="003A377B" w:rsidRPr="0097706A" w:rsidRDefault="003A377B" w:rsidP="0097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7706A">
        <w:rPr>
          <w:rFonts w:ascii="Arial" w:hAnsi="Arial" w:cs="Arial"/>
          <w:b/>
          <w:bCs/>
          <w:sz w:val="22"/>
          <w:szCs w:val="22"/>
        </w:rPr>
        <w:t>Résultats</w:t>
      </w:r>
      <w:r w:rsidRPr="0097706A">
        <w:rPr>
          <w:rFonts w:ascii="Arial" w:hAnsi="Arial" w:cs="Arial"/>
          <w:sz w:val="22"/>
          <w:szCs w:val="22"/>
        </w:rPr>
        <w:t xml:space="preserve"> : Parmi les 1 831 élèves interrogés, 18,42 % (n=341) pratiquent les jeux de hasard et d’argent (JHA). Parmi ces joueurs, 42,82 % (IC95% : 37,53% - 48,09%) présentent des troubles liés à l’usage des JHA, dont </w:t>
      </w:r>
      <w:r w:rsidR="00EA528C">
        <w:rPr>
          <w:rFonts w:ascii="Arial" w:hAnsi="Arial" w:cs="Arial"/>
          <w:sz w:val="22"/>
          <w:szCs w:val="22"/>
        </w:rPr>
        <w:t>4</w:t>
      </w:r>
      <w:r w:rsidRPr="0097706A">
        <w:rPr>
          <w:rFonts w:ascii="Arial" w:hAnsi="Arial" w:cs="Arial"/>
          <w:sz w:val="22"/>
          <w:szCs w:val="22"/>
        </w:rPr>
        <w:t xml:space="preserve">,11 % des troubles sévères. Les déterminants de ces troubles incluent la résidence dans la ville de </w:t>
      </w:r>
      <w:proofErr w:type="spellStart"/>
      <w:r w:rsidRPr="0097706A">
        <w:rPr>
          <w:rFonts w:ascii="Arial" w:hAnsi="Arial" w:cs="Arial"/>
          <w:sz w:val="22"/>
          <w:szCs w:val="22"/>
        </w:rPr>
        <w:t>Dassa-Zoumè</w:t>
      </w:r>
      <w:proofErr w:type="spellEnd"/>
      <w:r w:rsidRPr="0097706A">
        <w:rPr>
          <w:rFonts w:ascii="Arial" w:hAnsi="Arial" w:cs="Arial"/>
          <w:sz w:val="22"/>
          <w:szCs w:val="22"/>
        </w:rPr>
        <w:t>, le sexe masculin (</w:t>
      </w:r>
      <w:proofErr w:type="spellStart"/>
      <w:r w:rsidRPr="0097706A">
        <w:rPr>
          <w:rFonts w:ascii="Arial" w:hAnsi="Arial" w:cs="Arial"/>
          <w:sz w:val="22"/>
          <w:szCs w:val="22"/>
        </w:rPr>
        <w:t>ORa</w:t>
      </w:r>
      <w:proofErr w:type="spellEnd"/>
      <w:r w:rsidRPr="0097706A">
        <w:rPr>
          <w:rFonts w:ascii="Arial" w:hAnsi="Arial" w:cs="Arial"/>
          <w:sz w:val="22"/>
          <w:szCs w:val="22"/>
        </w:rPr>
        <w:t xml:space="preserve"> = 2,15 ; p=0,022), la nationalité béninoise (</w:t>
      </w:r>
      <w:proofErr w:type="spellStart"/>
      <w:r w:rsidRPr="0097706A">
        <w:rPr>
          <w:rFonts w:ascii="Arial" w:hAnsi="Arial" w:cs="Arial"/>
          <w:sz w:val="22"/>
          <w:szCs w:val="22"/>
        </w:rPr>
        <w:t>ORa</w:t>
      </w:r>
      <w:proofErr w:type="spellEnd"/>
      <w:r w:rsidRPr="0097706A">
        <w:rPr>
          <w:rFonts w:ascii="Arial" w:hAnsi="Arial" w:cs="Arial"/>
          <w:sz w:val="22"/>
          <w:szCs w:val="22"/>
        </w:rPr>
        <w:t xml:space="preserve"> = 6,59 ; p=0,009), la consommation problématique d’alcool (</w:t>
      </w:r>
      <w:proofErr w:type="spellStart"/>
      <w:r w:rsidRPr="0097706A">
        <w:rPr>
          <w:rFonts w:ascii="Arial" w:hAnsi="Arial" w:cs="Arial"/>
          <w:sz w:val="22"/>
          <w:szCs w:val="22"/>
        </w:rPr>
        <w:t>ORa</w:t>
      </w:r>
      <w:proofErr w:type="spellEnd"/>
      <w:r w:rsidRPr="0097706A">
        <w:rPr>
          <w:rFonts w:ascii="Arial" w:hAnsi="Arial" w:cs="Arial"/>
          <w:sz w:val="22"/>
          <w:szCs w:val="22"/>
        </w:rPr>
        <w:t xml:space="preserve"> = 3,24 ; p=0,001), la résidence proche d’une salle de JHA (</w:t>
      </w:r>
      <w:proofErr w:type="spellStart"/>
      <w:r w:rsidRPr="0097706A">
        <w:rPr>
          <w:rFonts w:ascii="Arial" w:hAnsi="Arial" w:cs="Arial"/>
          <w:sz w:val="22"/>
          <w:szCs w:val="22"/>
        </w:rPr>
        <w:t>ORa</w:t>
      </w:r>
      <w:proofErr w:type="spellEnd"/>
      <w:r w:rsidRPr="0097706A">
        <w:rPr>
          <w:rFonts w:ascii="Arial" w:hAnsi="Arial" w:cs="Arial"/>
          <w:sz w:val="22"/>
          <w:szCs w:val="22"/>
        </w:rPr>
        <w:t xml:space="preserve"> = 1,66 ; p=0,043), ainsi que des comportements de jeu à risque tels que l’utilisation de l’argent d’autrui pour miser (</w:t>
      </w:r>
      <w:proofErr w:type="spellStart"/>
      <w:r w:rsidRPr="0097706A">
        <w:rPr>
          <w:rFonts w:ascii="Arial" w:hAnsi="Arial" w:cs="Arial"/>
          <w:sz w:val="22"/>
          <w:szCs w:val="22"/>
        </w:rPr>
        <w:t>ORa</w:t>
      </w:r>
      <w:proofErr w:type="spellEnd"/>
      <w:r w:rsidRPr="0097706A">
        <w:rPr>
          <w:rFonts w:ascii="Arial" w:hAnsi="Arial" w:cs="Arial"/>
          <w:sz w:val="22"/>
          <w:szCs w:val="22"/>
        </w:rPr>
        <w:t xml:space="preserve"> = 2,20 ; p=0,013) et l’utilisation des frais de scolarité pour jouer (</w:t>
      </w:r>
      <w:proofErr w:type="spellStart"/>
      <w:r w:rsidRPr="0097706A">
        <w:rPr>
          <w:rFonts w:ascii="Arial" w:hAnsi="Arial" w:cs="Arial"/>
          <w:sz w:val="22"/>
          <w:szCs w:val="22"/>
        </w:rPr>
        <w:t>ORa</w:t>
      </w:r>
      <w:proofErr w:type="spellEnd"/>
      <w:r w:rsidRPr="0097706A">
        <w:rPr>
          <w:rFonts w:ascii="Arial" w:hAnsi="Arial" w:cs="Arial"/>
          <w:sz w:val="22"/>
          <w:szCs w:val="22"/>
        </w:rPr>
        <w:t xml:space="preserve"> = 4,15 ; p&lt;0,001).</w:t>
      </w:r>
    </w:p>
    <w:p w14:paraId="762DA5E4" w14:textId="77777777" w:rsidR="003A377B" w:rsidRPr="0097706A" w:rsidRDefault="003A377B" w:rsidP="00977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706A">
        <w:rPr>
          <w:rFonts w:ascii="Arial" w:hAnsi="Arial" w:cs="Arial"/>
          <w:b/>
          <w:bCs/>
          <w:sz w:val="22"/>
          <w:szCs w:val="22"/>
        </w:rPr>
        <w:t>Conclusion</w:t>
      </w:r>
      <w:r w:rsidRPr="0097706A">
        <w:rPr>
          <w:rFonts w:ascii="Arial" w:hAnsi="Arial" w:cs="Arial"/>
          <w:sz w:val="22"/>
          <w:szCs w:val="22"/>
        </w:rPr>
        <w:t> : Une approche multisectorielle impliquant les autorités éducatives, sanitaires et les familles est indispensable pour réduire l’impact du jeu excessif sur la santé mentale des adolescents.</w:t>
      </w:r>
    </w:p>
    <w:p w14:paraId="01159E21" w14:textId="1CE905F0" w:rsidR="007A2A32" w:rsidRPr="0097706A" w:rsidRDefault="003A377B" w:rsidP="00EC0F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706A">
        <w:rPr>
          <w:rFonts w:ascii="Arial" w:hAnsi="Arial" w:cs="Arial"/>
          <w:b/>
          <w:bCs/>
          <w:sz w:val="22"/>
          <w:szCs w:val="22"/>
        </w:rPr>
        <w:t>Mots clés</w:t>
      </w:r>
      <w:r w:rsidRPr="0097706A">
        <w:rPr>
          <w:rFonts w:ascii="Arial" w:hAnsi="Arial" w:cs="Arial"/>
          <w:sz w:val="22"/>
          <w:szCs w:val="22"/>
        </w:rPr>
        <w:t xml:space="preserve"> : Jeux de hasard et d’argent, troubles liés à l’usage, </w:t>
      </w:r>
      <w:r w:rsidR="00EC0F0F">
        <w:rPr>
          <w:rFonts w:ascii="Arial" w:hAnsi="Arial" w:cs="Arial"/>
          <w:sz w:val="22"/>
          <w:szCs w:val="22"/>
        </w:rPr>
        <w:t>adolescent</w:t>
      </w:r>
      <w:r w:rsidRPr="0097706A">
        <w:rPr>
          <w:rFonts w:ascii="Arial" w:hAnsi="Arial" w:cs="Arial"/>
          <w:sz w:val="22"/>
          <w:szCs w:val="22"/>
        </w:rPr>
        <w:t>, Déterminants, Bénin</w:t>
      </w:r>
    </w:p>
    <w:sectPr w:rsidR="007A2A32" w:rsidRPr="0097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7B"/>
    <w:rsid w:val="00042359"/>
    <w:rsid w:val="00095F91"/>
    <w:rsid w:val="00134886"/>
    <w:rsid w:val="001D590F"/>
    <w:rsid w:val="00374B9F"/>
    <w:rsid w:val="003A377B"/>
    <w:rsid w:val="003E0033"/>
    <w:rsid w:val="00433700"/>
    <w:rsid w:val="0045757E"/>
    <w:rsid w:val="00477AB8"/>
    <w:rsid w:val="004B499E"/>
    <w:rsid w:val="005E227E"/>
    <w:rsid w:val="00601018"/>
    <w:rsid w:val="00603FCE"/>
    <w:rsid w:val="00620F3E"/>
    <w:rsid w:val="006C6554"/>
    <w:rsid w:val="006F09CA"/>
    <w:rsid w:val="007321B7"/>
    <w:rsid w:val="0074451A"/>
    <w:rsid w:val="007564C7"/>
    <w:rsid w:val="0077530C"/>
    <w:rsid w:val="007A2A32"/>
    <w:rsid w:val="00961D48"/>
    <w:rsid w:val="0097706A"/>
    <w:rsid w:val="00A12A92"/>
    <w:rsid w:val="00AE000E"/>
    <w:rsid w:val="00B71F0A"/>
    <w:rsid w:val="00C9192B"/>
    <w:rsid w:val="00D909D9"/>
    <w:rsid w:val="00E965BF"/>
    <w:rsid w:val="00EA528C"/>
    <w:rsid w:val="00EC0F0F"/>
    <w:rsid w:val="00F43A8F"/>
    <w:rsid w:val="00F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EE1DA"/>
  <w15:chartTrackingRefBased/>
  <w15:docId w15:val="{8C50A7F1-3D34-40B4-8140-3BEC2A5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77B"/>
  </w:style>
  <w:style w:type="paragraph" w:styleId="Titre1">
    <w:name w:val="heading 1"/>
    <w:basedOn w:val="Normal"/>
    <w:next w:val="Normal"/>
    <w:link w:val="Titre1Car"/>
    <w:uiPriority w:val="9"/>
    <w:qFormat/>
    <w:rsid w:val="003A3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3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3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3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3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3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3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3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3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3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37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37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37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37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37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37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3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3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37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37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37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7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3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</Words>
  <Characters>2450</Characters>
  <Application>Microsoft Office Word</Application>
  <DocSecurity>0</DocSecurity>
  <Lines>37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Chabi Alphonse BIAOU</dc:creator>
  <cp:keywords/>
  <dc:description/>
  <cp:lastModifiedBy>Chabi Alphonse BIAOU</cp:lastModifiedBy>
  <cp:revision>17</cp:revision>
  <dcterms:created xsi:type="dcterms:W3CDTF">2025-07-20T22:51:00Z</dcterms:created>
  <dcterms:modified xsi:type="dcterms:W3CDTF">2025-07-21T12:36:00Z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ce796fa5-db1c-4130-81d1-09608e35639a</vt:lpwstr>
  </property>
</Properties>
</file>