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FC3B" w14:textId="77777777" w:rsidR="00346FD3" w:rsidRDefault="00346FD3" w:rsidP="00346FD3">
      <w:pPr>
        <w:jc w:val="both"/>
        <w:rPr>
          <w:rFonts w:ascii="Arial" w:hAnsi="Arial" w:cs="Arial"/>
          <w:sz w:val="24"/>
          <w:szCs w:val="24"/>
        </w:rPr>
      </w:pPr>
      <w:r w:rsidRPr="00346FD3">
        <w:rPr>
          <w:rFonts w:ascii="Arial" w:hAnsi="Arial" w:cs="Arial"/>
          <w:b/>
          <w:bCs/>
          <w:sz w:val="24"/>
          <w:szCs w:val="24"/>
        </w:rPr>
        <w:t>I</w:t>
      </w:r>
      <w:r w:rsidRPr="00346FD3">
        <w:rPr>
          <w:rFonts w:ascii="Arial" w:hAnsi="Arial" w:cs="Arial"/>
          <w:b/>
          <w:bCs/>
          <w:sz w:val="24"/>
          <w:szCs w:val="24"/>
        </w:rPr>
        <w:t>ntroduction</w:t>
      </w:r>
      <w:r w:rsidRPr="00346FD3">
        <w:rPr>
          <w:rFonts w:ascii="Arial" w:hAnsi="Arial" w:cs="Arial"/>
          <w:sz w:val="24"/>
          <w:szCs w:val="24"/>
        </w:rPr>
        <w:t xml:space="preserve"> </w:t>
      </w:r>
    </w:p>
    <w:p w14:paraId="05CFA921" w14:textId="0A9811D0" w:rsidR="00346FD3" w:rsidRDefault="00346FD3" w:rsidP="00346FD3">
      <w:pPr>
        <w:jc w:val="both"/>
        <w:rPr>
          <w:rFonts w:ascii="Arial" w:hAnsi="Arial" w:cs="Arial"/>
          <w:sz w:val="24"/>
          <w:szCs w:val="24"/>
        </w:rPr>
      </w:pPr>
      <w:r w:rsidRPr="00346FD3">
        <w:rPr>
          <w:rFonts w:ascii="Arial" w:hAnsi="Arial" w:cs="Arial"/>
          <w:sz w:val="24"/>
          <w:szCs w:val="24"/>
        </w:rPr>
        <w:t xml:space="preserve">Les carences en micronutriments demeurent un défi majeur de santé chez les femmes et enfants. L’objectif était d’analyser les stratégies intégrées de lutte contre les carences en micronutriments par une analyse multicritère. </w:t>
      </w:r>
    </w:p>
    <w:p w14:paraId="649E2819" w14:textId="2275371A" w:rsidR="00346FD3" w:rsidRDefault="00346FD3" w:rsidP="00346FD3">
      <w:pPr>
        <w:jc w:val="both"/>
        <w:rPr>
          <w:rFonts w:ascii="Arial" w:hAnsi="Arial" w:cs="Arial"/>
          <w:sz w:val="24"/>
          <w:szCs w:val="24"/>
        </w:rPr>
      </w:pPr>
      <w:r w:rsidRPr="00346FD3">
        <w:rPr>
          <w:rFonts w:ascii="Arial" w:hAnsi="Arial" w:cs="Arial"/>
          <w:b/>
          <w:bCs/>
          <w:sz w:val="24"/>
          <w:szCs w:val="24"/>
        </w:rPr>
        <w:t>Méthodologie</w:t>
      </w:r>
      <w:r w:rsidRPr="00346FD3">
        <w:rPr>
          <w:rFonts w:ascii="Arial" w:hAnsi="Arial" w:cs="Arial"/>
          <w:sz w:val="24"/>
          <w:szCs w:val="24"/>
        </w:rPr>
        <w:t xml:space="preserve"> Etude transversale descriptive qualitative et quantitative, structurée en deux grandes parties : - une recherche documentaire pour cartographier les acteurs et stratégies de lutte contre les carences en micronutriments par l’analyse de rapports institutionnels, d’articles scientifiques obtenus auprès des parties prenantes de la nutrition. - une analyse multicritère a été réalisée auprès de 14 représentants des ONG, agences étatiques, secteur privé, organisations internationales, chercheurs. Avec le logiciel </w:t>
      </w:r>
      <w:proofErr w:type="spellStart"/>
      <w:r w:rsidRPr="00346FD3">
        <w:rPr>
          <w:rFonts w:ascii="Arial" w:hAnsi="Arial" w:cs="Arial"/>
          <w:sz w:val="24"/>
          <w:szCs w:val="24"/>
        </w:rPr>
        <w:t>Multicriteria</w:t>
      </w:r>
      <w:proofErr w:type="spellEnd"/>
      <w:r w:rsidRPr="00346FD3">
        <w:rPr>
          <w:rFonts w:ascii="Arial" w:hAnsi="Arial" w:cs="Arial"/>
          <w:sz w:val="24"/>
          <w:szCs w:val="24"/>
        </w:rPr>
        <w:t xml:space="preserve"> Mapping, chaque stratégie a été évaluée sous différents scénarii avec des critères propres à chaque acteur. Les données recueillies ont été analysées de manière triangulée afin d’affiner l’interprétation des résultats </w:t>
      </w:r>
    </w:p>
    <w:p w14:paraId="730FA440" w14:textId="27FB093D" w:rsidR="00346FD3" w:rsidRPr="00346FD3" w:rsidRDefault="00346FD3" w:rsidP="00346FD3">
      <w:pPr>
        <w:jc w:val="both"/>
        <w:rPr>
          <w:rFonts w:ascii="Arial" w:hAnsi="Arial" w:cs="Arial"/>
          <w:sz w:val="24"/>
          <w:szCs w:val="24"/>
        </w:rPr>
      </w:pPr>
      <w:r w:rsidRPr="00346FD3">
        <w:rPr>
          <w:rFonts w:ascii="Arial" w:hAnsi="Arial" w:cs="Arial"/>
          <w:b/>
          <w:bCs/>
          <w:sz w:val="24"/>
          <w:szCs w:val="24"/>
        </w:rPr>
        <w:t>Résultats</w:t>
      </w:r>
      <w:r w:rsidRPr="00346FD3">
        <w:rPr>
          <w:rFonts w:ascii="Arial" w:hAnsi="Arial" w:cs="Arial"/>
          <w:sz w:val="24"/>
          <w:szCs w:val="24"/>
        </w:rPr>
        <w:t xml:space="preserve"> L’analyse a permis d’identifier huit stratégies distinctes de lutte contre les carences en micronutriments, évaluées selon 47 critères regroupés en 05 </w:t>
      </w:r>
      <w:proofErr w:type="gramStart"/>
      <w:r w:rsidRPr="00346FD3">
        <w:rPr>
          <w:rFonts w:ascii="Arial" w:hAnsi="Arial" w:cs="Arial"/>
          <w:sz w:val="24"/>
          <w:szCs w:val="24"/>
        </w:rPr>
        <w:t>groupes:</w:t>
      </w:r>
      <w:proofErr w:type="gramEnd"/>
      <w:r w:rsidRPr="00346FD3">
        <w:rPr>
          <w:rFonts w:ascii="Arial" w:hAnsi="Arial" w:cs="Arial"/>
          <w:sz w:val="24"/>
          <w:szCs w:val="24"/>
        </w:rPr>
        <w:t xml:space="preserve"> ressources, engagement politique, engagement des acteurs, acceptabilité et durabilité. L’engagement des acteurs est apparu comme le critère déterminant. Les ONG, les organisations internationales et les industries agroalimentaires valorisent principalement la coordination intersectorielle et l’existence d’un cadre législatif pour la fortification, tandis que les décideurs politiques et les spécialistes en santé publique privilégient les approches communautaires et la supplémentation ciblée. Les opinions sur l’efficacité des stratégies diffèrent selon les rôles et les contextes des acteurs. L’étude a montré un décalage entre les approches globales et les actions concrètes sur le terrain, ainsi qu’une diversité de points de vue sur la coordination des efforts.</w:t>
      </w:r>
    </w:p>
    <w:p w14:paraId="3A1D2B01" w14:textId="77777777" w:rsidR="00346FD3" w:rsidRPr="00346FD3" w:rsidRDefault="00346FD3" w:rsidP="00346FD3">
      <w:pPr>
        <w:jc w:val="both"/>
        <w:rPr>
          <w:rFonts w:ascii="Arial" w:hAnsi="Arial" w:cs="Arial"/>
          <w:sz w:val="24"/>
          <w:szCs w:val="24"/>
        </w:rPr>
      </w:pPr>
      <w:r w:rsidRPr="00346FD3">
        <w:rPr>
          <w:rFonts w:ascii="Arial" w:hAnsi="Arial" w:cs="Arial"/>
          <w:b/>
          <w:bCs/>
          <w:sz w:val="24"/>
          <w:szCs w:val="24"/>
        </w:rPr>
        <w:t>Conclusion</w:t>
      </w:r>
      <w:r w:rsidRPr="00346FD3">
        <w:rPr>
          <w:rFonts w:ascii="Arial" w:hAnsi="Arial" w:cs="Arial"/>
          <w:sz w:val="24"/>
          <w:szCs w:val="24"/>
        </w:rPr>
        <w:t xml:space="preserve"> L’approche d’évaluation multicritère a mis en évidence que, malgré des priorités nuancées selon les parties prenantes, la synergie entre coordination institutionnelle, supplémentation ciblée et fortification réglementée constitue le levier le plus robuste pour améliorer durablement le statut en micronutriments des ménages sénégalais.</w:t>
      </w:r>
    </w:p>
    <w:p w14:paraId="2E4A314E" w14:textId="384B896A" w:rsidR="004B3703" w:rsidRPr="00346FD3" w:rsidRDefault="004B3703" w:rsidP="00346FD3">
      <w:pPr>
        <w:jc w:val="both"/>
        <w:rPr>
          <w:rFonts w:ascii="Arial" w:hAnsi="Arial" w:cs="Arial"/>
          <w:sz w:val="24"/>
          <w:szCs w:val="24"/>
        </w:rPr>
      </w:pPr>
    </w:p>
    <w:p w14:paraId="60675EB8" w14:textId="628F213D" w:rsidR="00346FD3" w:rsidRDefault="00346FD3"/>
    <w:sectPr w:rsidR="00346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53BC4"/>
    <w:multiLevelType w:val="hybridMultilevel"/>
    <w:tmpl w:val="6764E9DE"/>
    <w:lvl w:ilvl="0" w:tplc="BFF00F82">
      <w:numFmt w:val="bullet"/>
      <w:lvlText w:val="-"/>
      <w:lvlJc w:val="left"/>
      <w:pPr>
        <w:ind w:left="360" w:hanging="360"/>
      </w:pPr>
      <w:rPr>
        <w:rFonts w:ascii="Times New Roman" w:eastAsia="Times New Roman" w:hAnsi="Times New Roman" w:cs="Times New Roman" w:hint="default"/>
        <w:b w:val="0"/>
      </w:rPr>
    </w:lvl>
    <w:lvl w:ilvl="1" w:tplc="280C0003" w:tentative="1">
      <w:start w:val="1"/>
      <w:numFmt w:val="bullet"/>
      <w:lvlText w:val="o"/>
      <w:lvlJc w:val="left"/>
      <w:pPr>
        <w:ind w:left="1080" w:hanging="360"/>
      </w:pPr>
      <w:rPr>
        <w:rFonts w:ascii="Courier New" w:hAnsi="Courier New" w:cs="Courier New" w:hint="default"/>
      </w:rPr>
    </w:lvl>
    <w:lvl w:ilvl="2" w:tplc="280C0005" w:tentative="1">
      <w:start w:val="1"/>
      <w:numFmt w:val="bullet"/>
      <w:lvlText w:val=""/>
      <w:lvlJc w:val="left"/>
      <w:pPr>
        <w:ind w:left="1800" w:hanging="360"/>
      </w:pPr>
      <w:rPr>
        <w:rFonts w:ascii="Wingdings" w:hAnsi="Wingdings" w:hint="default"/>
      </w:rPr>
    </w:lvl>
    <w:lvl w:ilvl="3" w:tplc="280C0001" w:tentative="1">
      <w:start w:val="1"/>
      <w:numFmt w:val="bullet"/>
      <w:lvlText w:val=""/>
      <w:lvlJc w:val="left"/>
      <w:pPr>
        <w:ind w:left="2520" w:hanging="360"/>
      </w:pPr>
      <w:rPr>
        <w:rFonts w:ascii="Symbol" w:hAnsi="Symbol" w:hint="default"/>
      </w:rPr>
    </w:lvl>
    <w:lvl w:ilvl="4" w:tplc="280C0003" w:tentative="1">
      <w:start w:val="1"/>
      <w:numFmt w:val="bullet"/>
      <w:lvlText w:val="o"/>
      <w:lvlJc w:val="left"/>
      <w:pPr>
        <w:ind w:left="3240" w:hanging="360"/>
      </w:pPr>
      <w:rPr>
        <w:rFonts w:ascii="Courier New" w:hAnsi="Courier New" w:cs="Courier New" w:hint="default"/>
      </w:rPr>
    </w:lvl>
    <w:lvl w:ilvl="5" w:tplc="280C0005" w:tentative="1">
      <w:start w:val="1"/>
      <w:numFmt w:val="bullet"/>
      <w:lvlText w:val=""/>
      <w:lvlJc w:val="left"/>
      <w:pPr>
        <w:ind w:left="3960" w:hanging="360"/>
      </w:pPr>
      <w:rPr>
        <w:rFonts w:ascii="Wingdings" w:hAnsi="Wingdings" w:hint="default"/>
      </w:rPr>
    </w:lvl>
    <w:lvl w:ilvl="6" w:tplc="280C0001" w:tentative="1">
      <w:start w:val="1"/>
      <w:numFmt w:val="bullet"/>
      <w:lvlText w:val=""/>
      <w:lvlJc w:val="left"/>
      <w:pPr>
        <w:ind w:left="4680" w:hanging="360"/>
      </w:pPr>
      <w:rPr>
        <w:rFonts w:ascii="Symbol" w:hAnsi="Symbol" w:hint="default"/>
      </w:rPr>
    </w:lvl>
    <w:lvl w:ilvl="7" w:tplc="280C0003" w:tentative="1">
      <w:start w:val="1"/>
      <w:numFmt w:val="bullet"/>
      <w:lvlText w:val="o"/>
      <w:lvlJc w:val="left"/>
      <w:pPr>
        <w:ind w:left="5400" w:hanging="360"/>
      </w:pPr>
      <w:rPr>
        <w:rFonts w:ascii="Courier New" w:hAnsi="Courier New" w:cs="Courier New" w:hint="default"/>
      </w:rPr>
    </w:lvl>
    <w:lvl w:ilvl="8" w:tplc="280C0005" w:tentative="1">
      <w:start w:val="1"/>
      <w:numFmt w:val="bullet"/>
      <w:lvlText w:val=""/>
      <w:lvlJc w:val="left"/>
      <w:pPr>
        <w:ind w:left="6120" w:hanging="360"/>
      </w:pPr>
      <w:rPr>
        <w:rFonts w:ascii="Wingdings" w:hAnsi="Wingdings" w:hint="default"/>
      </w:rPr>
    </w:lvl>
  </w:abstractNum>
  <w:num w:numId="1" w16cid:durableId="93174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99"/>
    <w:rsid w:val="00346FD3"/>
    <w:rsid w:val="004B3703"/>
    <w:rsid w:val="004D2844"/>
    <w:rsid w:val="008E44BF"/>
    <w:rsid w:val="00925799"/>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63EC"/>
  <w15:chartTrackingRefBased/>
  <w15:docId w15:val="{31DEC3EB-3B18-4C03-86BE-A7C271F2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S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79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799"/>
    <w:pPr>
      <w:ind w:left="720"/>
      <w:contextualSpacing/>
    </w:pPr>
  </w:style>
  <w:style w:type="paragraph" w:styleId="NormalWeb">
    <w:name w:val="Normal (Web)"/>
    <w:basedOn w:val="Normal"/>
    <w:uiPriority w:val="99"/>
    <w:semiHidden/>
    <w:unhideWhenUsed/>
    <w:rsid w:val="00346FD3"/>
    <w:pPr>
      <w:spacing w:before="100" w:beforeAutospacing="1" w:after="100" w:afterAutospacing="1" w:line="240" w:lineRule="auto"/>
    </w:pPr>
    <w:rPr>
      <w:rFonts w:ascii="Times New Roman" w:eastAsia="Times New Roman" w:hAnsi="Times New Roman" w:cs="Times New Roman"/>
      <w:kern w:val="0"/>
      <w:sz w:val="24"/>
      <w:szCs w:val="24"/>
      <w:lang w:val="fr-SN" w:eastAsia="fr-SN"/>
      <w14:ligatures w14:val="none"/>
    </w:rPr>
  </w:style>
  <w:style w:type="character" w:styleId="lev">
    <w:name w:val="Strong"/>
    <w:basedOn w:val="Policepardfaut"/>
    <w:uiPriority w:val="22"/>
    <w:qFormat/>
    <w:rsid w:val="00346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2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351</Words>
  <Characters>1936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maty.camara@ucad.edu.sn</dc:creator>
  <cp:keywords/>
  <dc:description/>
  <cp:lastModifiedBy>maty.camara@ucad.edu.sn</cp:lastModifiedBy>
  <cp:revision>1</cp:revision>
  <dcterms:created xsi:type="dcterms:W3CDTF">2025-06-30T17:50:00Z</dcterms:created>
  <dcterms:modified xsi:type="dcterms:W3CDTF">2025-06-30T19:11:00Z</dcterms:modified>
</cp:coreProperties>
</file>