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265" w:rsidRDefault="00033B99">
      <w:pPr>
        <w:spacing w:before="0" w:beforeAutospacing="0" w:after="0" w:afterAutospacing="0"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bookmarkStart w:id="0" w:name="_Hlk199705212"/>
      <w:bookmarkStart w:id="1" w:name="_Hlk199118576"/>
      <w:r>
        <w:rPr>
          <w:rFonts w:ascii="Arial" w:eastAsia="Calibri" w:hAnsi="Arial" w:cs="Arial"/>
          <w:b/>
          <w:sz w:val="22"/>
          <w:szCs w:val="22"/>
        </w:rPr>
        <w:t xml:space="preserve">Résistances aux antimicrobiens en pisciculture : état des lieux des connaissances, attitudes et pratiques des pisciculteurs </w:t>
      </w:r>
    </w:p>
    <w:p w:rsidR="000D2265" w:rsidRDefault="00033B99">
      <w:pPr>
        <w:spacing w:before="0" w:beforeAutospacing="0" w:after="0" w:afterAutospacing="0"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proofErr w:type="gramStart"/>
      <w:r>
        <w:rPr>
          <w:rFonts w:ascii="Arial" w:eastAsia="Calibri" w:hAnsi="Arial" w:cs="Arial"/>
          <w:b/>
          <w:sz w:val="22"/>
          <w:szCs w:val="22"/>
        </w:rPr>
        <w:t>en</w:t>
      </w:r>
      <w:proofErr w:type="gramEnd"/>
      <w:r>
        <w:rPr>
          <w:rFonts w:ascii="Arial" w:eastAsia="Calibri" w:hAnsi="Arial" w:cs="Arial"/>
          <w:b/>
          <w:sz w:val="22"/>
          <w:szCs w:val="22"/>
        </w:rPr>
        <w:t xml:space="preserve"> région maritime au Togo en 2024</w:t>
      </w:r>
    </w:p>
    <w:bookmarkEnd w:id="0"/>
    <w:p w:rsidR="000D2265" w:rsidRDefault="00033B9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BEDIANG Vicky B</w:t>
      </w:r>
      <w:r>
        <w:rPr>
          <w:rFonts w:ascii="Arial" w:hAnsi="Arial" w:cs="Arial"/>
          <w:sz w:val="22"/>
          <w:szCs w:val="22"/>
          <w:u w:val="single"/>
        </w:rPr>
        <w:t xml:space="preserve">lanche </w:t>
      </w:r>
      <w:r>
        <w:rPr>
          <w:rFonts w:ascii="Arial" w:hAnsi="Arial" w:cs="Arial"/>
          <w:sz w:val="22"/>
          <w:szCs w:val="22"/>
          <w:u w:val="single"/>
        </w:rPr>
        <w:t>I</w:t>
      </w:r>
      <w:r>
        <w:rPr>
          <w:rFonts w:ascii="Arial" w:hAnsi="Arial" w:cs="Arial"/>
          <w:sz w:val="22"/>
          <w:szCs w:val="22"/>
        </w:rPr>
        <w:t>,</w:t>
      </w:r>
      <w:proofErr w:type="gramStart"/>
      <w:r>
        <w:rPr>
          <w:rFonts w:ascii="Arial" w:hAnsi="Arial" w:cs="Arial"/>
          <w:sz w:val="22"/>
          <w:szCs w:val="22"/>
          <w:vertAlign w:val="superscript"/>
        </w:rPr>
        <w:t>1;</w:t>
      </w:r>
      <w:proofErr w:type="gramEnd"/>
      <w:r>
        <w:rPr>
          <w:rFonts w:ascii="Arial" w:hAnsi="Arial" w:cs="Arial"/>
          <w:sz w:val="22"/>
          <w:szCs w:val="22"/>
          <w:vertAlign w:val="superscript"/>
        </w:rPr>
        <w:t>2*</w:t>
      </w:r>
      <w:r>
        <w:rPr>
          <w:rFonts w:ascii="Arial" w:hAnsi="Arial" w:cs="Arial"/>
          <w:sz w:val="22"/>
          <w:szCs w:val="22"/>
        </w:rPr>
        <w:t xml:space="preserve"> SALOU Mounerou,</w:t>
      </w:r>
      <w:r>
        <w:rPr>
          <w:rFonts w:ascii="Arial" w:hAnsi="Arial" w:cs="Arial"/>
          <w:sz w:val="22"/>
          <w:szCs w:val="22"/>
          <w:vertAlign w:val="superscript"/>
        </w:rPr>
        <w:t>1,2</w:t>
      </w:r>
      <w:r>
        <w:rPr>
          <w:rFonts w:ascii="Arial" w:hAnsi="Arial" w:cs="Arial"/>
          <w:sz w:val="22"/>
          <w:szCs w:val="22"/>
        </w:rPr>
        <w:t xml:space="preserve"> ATOUN </w:t>
      </w:r>
      <w:proofErr w:type="spellStart"/>
      <w:r>
        <w:rPr>
          <w:rFonts w:ascii="Arial" w:hAnsi="Arial" w:cs="Arial"/>
          <w:sz w:val="22"/>
          <w:szCs w:val="22"/>
        </w:rPr>
        <w:t>Comlan</w:t>
      </w:r>
      <w:proofErr w:type="spellEnd"/>
      <w:r>
        <w:rPr>
          <w:rFonts w:ascii="Arial" w:hAnsi="Arial" w:cs="Arial"/>
          <w:sz w:val="22"/>
          <w:szCs w:val="22"/>
        </w:rPr>
        <w:t xml:space="preserve"> Rogatien,</w:t>
      </w:r>
      <w:r>
        <w:rPr>
          <w:rFonts w:ascii="Arial" w:hAnsi="Arial" w:cs="Arial"/>
          <w:sz w:val="22"/>
          <w:szCs w:val="22"/>
          <w:vertAlign w:val="superscript"/>
        </w:rPr>
        <w:t>1,3</w:t>
      </w:r>
    </w:p>
    <w:p w:rsidR="000D2265" w:rsidRDefault="00033B9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1.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Université de </w:t>
      </w:r>
      <w:r>
        <w:rPr>
          <w:rFonts w:ascii="Arial" w:hAnsi="Arial" w:cs="Arial"/>
          <w:i/>
          <w:iCs/>
          <w:sz w:val="22"/>
          <w:szCs w:val="22"/>
        </w:rPr>
        <w:t>Lomé,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Faculté des Sciences,</w:t>
      </w:r>
      <w:r>
        <w:rPr>
          <w:rFonts w:ascii="Arial" w:hAnsi="Arial" w:cs="Arial"/>
          <w:i/>
          <w:iCs/>
          <w:sz w:val="22"/>
          <w:szCs w:val="22"/>
        </w:rPr>
        <w:t xml:space="preserve"> Lomé,</w:t>
      </w:r>
      <w:r w:rsidR="00957EC9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Togo</w:t>
      </w:r>
    </w:p>
    <w:p w:rsidR="000D2265" w:rsidRDefault="00033B9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2. Université de Lomé,</w:t>
      </w:r>
      <w:r w:rsidR="00957EC9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Laboratoire de Biologie Moléculaire et d’Immunologie</w:t>
      </w:r>
      <w:r>
        <w:rPr>
          <w:rFonts w:ascii="Arial" w:hAnsi="Arial" w:cs="Arial"/>
          <w:i/>
          <w:iCs/>
          <w:sz w:val="22"/>
          <w:szCs w:val="22"/>
        </w:rPr>
        <w:t>, Lomé,</w:t>
      </w:r>
      <w:r w:rsidR="00957EC9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Togo </w:t>
      </w:r>
    </w:p>
    <w:p w:rsidR="000D2265" w:rsidRDefault="00033B9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3.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Université de Lomé,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Département de Santé Publique,</w:t>
      </w:r>
      <w:r>
        <w:rPr>
          <w:rFonts w:ascii="Arial" w:hAnsi="Arial" w:cs="Arial"/>
          <w:i/>
          <w:iCs/>
          <w:sz w:val="22"/>
          <w:szCs w:val="22"/>
        </w:rPr>
        <w:t xml:space="preserve"> Lomé,</w:t>
      </w:r>
      <w:r w:rsidR="00957EC9">
        <w:rPr>
          <w:rFonts w:ascii="Arial" w:hAnsi="Arial" w:cs="Arial"/>
          <w:i/>
          <w:iCs/>
          <w:sz w:val="22"/>
          <w:szCs w:val="22"/>
        </w:rPr>
        <w:t xml:space="preserve"> </w:t>
      </w:r>
      <w:bookmarkStart w:id="2" w:name="_GoBack"/>
      <w:bookmarkEnd w:id="2"/>
      <w:r>
        <w:rPr>
          <w:rFonts w:ascii="Arial" w:hAnsi="Arial" w:cs="Arial"/>
          <w:i/>
          <w:iCs/>
          <w:sz w:val="22"/>
          <w:szCs w:val="22"/>
        </w:rPr>
        <w:t>Togo</w:t>
      </w:r>
    </w:p>
    <w:p w:rsidR="000D2265" w:rsidRDefault="000D226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8"/>
          <w:szCs w:val="22"/>
        </w:rPr>
      </w:pPr>
    </w:p>
    <w:p w:rsidR="000D2265" w:rsidRDefault="00033B9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>Auteur correspondant :</w:t>
      </w:r>
      <w:r>
        <w:rPr>
          <w:rFonts w:ascii="Arial" w:hAnsi="Arial" w:cs="Arial"/>
          <w:sz w:val="22"/>
          <w:szCs w:val="22"/>
        </w:rPr>
        <w:t xml:space="preserve"> Email : ingridcog70@gmail.com | Tél : (228) 90 68 62 29</w:t>
      </w:r>
      <w:bookmarkEnd w:id="1"/>
    </w:p>
    <w:p w:rsidR="000D2265" w:rsidRDefault="000D226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14"/>
          <w:szCs w:val="22"/>
        </w:rPr>
      </w:pPr>
    </w:p>
    <w:p w:rsidR="000D2265" w:rsidRDefault="00033B99">
      <w:pPr>
        <w:spacing w:before="0" w:beforeAutospacing="0" w:after="0" w:afterAutospacing="0" w:line="360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Contexte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: </w:t>
      </w:r>
      <w:r>
        <w:rPr>
          <w:rFonts w:ascii="Arial" w:eastAsia="Calibri" w:hAnsi="Arial" w:cs="Arial"/>
          <w:sz w:val="22"/>
          <w:szCs w:val="22"/>
        </w:rPr>
        <w:t xml:space="preserve">L’usage d’antimicrobiens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en pisciculture contribue à l’émergence de la résistance aux antimicrobiens dans ce secteur. </w:t>
      </w:r>
      <w:r>
        <w:rPr>
          <w:rFonts w:ascii="Arial" w:eastAsia="Calibri" w:hAnsi="Arial" w:cs="Arial"/>
          <w:sz w:val="22"/>
          <w:szCs w:val="22"/>
        </w:rPr>
        <w:t>Or, cette problématique demeure encore peu documentée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. </w:t>
      </w:r>
    </w:p>
    <w:p w:rsidR="000D2265" w:rsidRDefault="00033B99">
      <w:pPr>
        <w:spacing w:before="0" w:beforeAutospacing="0" w:after="0" w:afterAutospacing="0" w:line="360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Objectif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 : L’</w:t>
      </w:r>
      <w:r>
        <w:rPr>
          <w:rFonts w:ascii="Arial" w:eastAsia="Calibri" w:hAnsi="Arial" w:cs="Arial"/>
          <w:sz w:val="22"/>
          <w:szCs w:val="22"/>
        </w:rPr>
        <w:t xml:space="preserve">objectif de cette étude était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eastAsia="Calibri" w:hAnsi="Arial" w:cs="Arial"/>
          <w:sz w:val="22"/>
          <w:szCs w:val="22"/>
        </w:rPr>
        <w:t xml:space="preserve"> décrire les connaissances, attitudes et pratiques des pisciculteurs de la région Maritime du Togo concernant l’utilisation des antibiotiques et à la RAM dans la pisciculture en 2024. </w:t>
      </w:r>
    </w:p>
    <w:p w:rsidR="000D2265" w:rsidRDefault="00033B99">
      <w:pPr>
        <w:spacing w:before="0" w:beforeAutospacing="0" w:after="0" w:afterAutospacing="0" w:line="360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Méthodes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: Une étude transversale à vis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ée descriptive CAP a été menée d’octobre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2024 à février 2025.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L’ensemble des fermes piscicoles de la région Maritime ayant consenti à participer a été incl</w:t>
      </w:r>
      <w:r>
        <w:rPr>
          <w:rFonts w:ascii="Arial" w:eastAsia="Calibri" w:hAnsi="Arial" w:cs="Arial"/>
          <w:bCs/>
          <w:sz w:val="22"/>
          <w:szCs w:val="22"/>
        </w:rPr>
        <w:t>us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. Les réponses ont été agrégé</w:t>
      </w:r>
      <w:r>
        <w:rPr>
          <w:rFonts w:ascii="Arial" w:eastAsia="Calibri" w:hAnsi="Arial" w:cs="Arial"/>
          <w:bCs/>
          <w:sz w:val="22"/>
          <w:szCs w:val="22"/>
        </w:rPr>
        <w:t>es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pour calculer des scores de connaissance, d’attitude et de pratique. Chaque score individuel a été exprimé en pourcentage, et interprété selon les seuils suivants : score &lt; 40 % = faible, score entre 40–70 % = moyen, et score ≥ 70 % = bon. Les données ont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été recueillies à l’aide d’un questionnaire digitalisé, puis analysées à l’aide du logiciel R.</w:t>
      </w:r>
    </w:p>
    <w:p w:rsidR="000D2265" w:rsidRDefault="00033B99">
      <w:pPr>
        <w:spacing w:before="0" w:beforeAutospacing="0" w:after="0" w:afterAutospacing="0" w:line="360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Résultats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: Au total, 56 pisciculteurs issus de 19 fermes réparties dans les cinq préfectures de la région ont été enquêtés. L’âge médian des répondants était d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e 46 ans (34-52 ans). Plus </w:t>
      </w:r>
      <w:proofErr w:type="gramStart"/>
      <w:r>
        <w:rPr>
          <w:rFonts w:ascii="Arial" w:eastAsia="Calibri" w:hAnsi="Arial" w:cs="Arial"/>
          <w:bCs/>
          <w:color w:val="000000"/>
          <w:sz w:val="22"/>
          <w:szCs w:val="22"/>
        </w:rPr>
        <w:t>de</w:t>
      </w:r>
      <w:proofErr w:type="gramEnd"/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70 % étaient des pisciculteurs ou techniciens aquacoles et 82, 1% des participants n’avaient jamais reçu de formation sur la RAM.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Cependant, 51, 8% avaient connaissance de l’usage des antibiotiques dans le traitement des poiss</w:t>
      </w:r>
      <w:r>
        <w:rPr>
          <w:rFonts w:ascii="Arial" w:hAnsi="Arial" w:cs="Arial"/>
          <w:bCs/>
          <w:color w:val="000000"/>
          <w:sz w:val="22"/>
          <w:szCs w:val="22"/>
        </w:rPr>
        <w:t>ons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, mais 67, 9% n’avaient jamais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entendu parler de la résistance aux antibiotiques. La tétracycline (14, 3%) était l’antibiotique déjà utilisé au moins une fois.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Nos résultats ont révélé des attitudes relativement positives (44,6%), mais des connaissances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limitées (43, 5 %) et des pratiques globalement inadéquates (71,7%).</w:t>
      </w:r>
    </w:p>
    <w:p w:rsidR="000D2265" w:rsidRDefault="00033B99">
      <w:pPr>
        <w:spacing w:before="0" w:beforeAutospacing="0" w:after="0" w:afterAutospacing="0" w:line="360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Conclusion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: La majorité des pisciculteurs adoptent des pratiques inappropriées, soulignant la nécessité d’interventions ciblées pour promouvoir de bonnes pratiques chez les pisciculteur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s </w:t>
      </w:r>
      <w:r>
        <w:rPr>
          <w:rFonts w:ascii="Arial" w:eastAsia="Calibri" w:hAnsi="Arial" w:cs="Arial"/>
          <w:bCs/>
          <w:color w:val="000000"/>
          <w:sz w:val="22"/>
          <w:szCs w:val="22"/>
          <w:lang w:val="fr" w:eastAsia="fr" w:bidi="ar"/>
        </w:rPr>
        <w:t xml:space="preserve">et lutter efficacement contre la résistance aux antibiotiques. </w:t>
      </w:r>
    </w:p>
    <w:p w:rsidR="000D2265" w:rsidRDefault="00033B99">
      <w:pPr>
        <w:spacing w:before="0" w:beforeAutospacing="0" w:after="0" w:afterAutospacing="0" w:line="360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.</w:t>
      </w:r>
    </w:p>
    <w:p w:rsidR="000D2265" w:rsidRDefault="00033B99">
      <w:pPr>
        <w:spacing w:before="0" w:beforeAutospacing="0" w:after="0" w:afterAutospacing="0" w:line="360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 xml:space="preserve">Mots clés :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antibiorésistance,</w:t>
      </w:r>
      <w:r>
        <w:rPr>
          <w:rFonts w:ascii="Arial" w:eastAsia="Calibri" w:hAnsi="Arial" w:cs="Arial"/>
          <w:bCs/>
          <w:sz w:val="22"/>
          <w:szCs w:val="22"/>
        </w:rPr>
        <w:t xml:space="preserve"> antimicrobiens, pisciculture,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Tog</w:t>
      </w:r>
      <w:r>
        <w:rPr>
          <w:rFonts w:ascii="Arial" w:eastAsia="Calibri" w:hAnsi="Arial" w:cs="Arial"/>
          <w:bCs/>
          <w:sz w:val="22"/>
          <w:szCs w:val="22"/>
        </w:rPr>
        <w:t xml:space="preserve">o. </w:t>
      </w:r>
    </w:p>
    <w:p w:rsidR="000D2265" w:rsidRDefault="00033B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</w:t>
      </w:r>
    </w:p>
    <w:sectPr w:rsidR="000D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B99" w:rsidRDefault="00033B99">
      <w:pPr>
        <w:spacing w:line="240" w:lineRule="auto"/>
      </w:pPr>
      <w:r>
        <w:separator/>
      </w:r>
    </w:p>
  </w:endnote>
  <w:endnote w:type="continuationSeparator" w:id="0">
    <w:p w:rsidR="00033B99" w:rsidRDefault="00033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B99" w:rsidRDefault="00033B99">
      <w:pPr>
        <w:spacing w:before="0" w:after="0"/>
      </w:pPr>
      <w:r>
        <w:separator/>
      </w:r>
    </w:p>
  </w:footnote>
  <w:footnote w:type="continuationSeparator" w:id="0">
    <w:p w:rsidR="00033B99" w:rsidRDefault="00033B9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9E"/>
    <w:rsid w:val="00033B99"/>
    <w:rsid w:val="000D2265"/>
    <w:rsid w:val="00103C16"/>
    <w:rsid w:val="00185006"/>
    <w:rsid w:val="001A0838"/>
    <w:rsid w:val="00276CEC"/>
    <w:rsid w:val="00510368"/>
    <w:rsid w:val="006233B2"/>
    <w:rsid w:val="00652EF4"/>
    <w:rsid w:val="007024B7"/>
    <w:rsid w:val="007E23F0"/>
    <w:rsid w:val="007F5B60"/>
    <w:rsid w:val="00800729"/>
    <w:rsid w:val="00873C9E"/>
    <w:rsid w:val="00957EC9"/>
    <w:rsid w:val="00BE296A"/>
    <w:rsid w:val="00C13525"/>
    <w:rsid w:val="00C70671"/>
    <w:rsid w:val="00C94202"/>
    <w:rsid w:val="00EC4B6F"/>
    <w:rsid w:val="00EE26FB"/>
    <w:rsid w:val="00F35CE0"/>
    <w:rsid w:val="00F66DDC"/>
    <w:rsid w:val="00F879EE"/>
    <w:rsid w:val="06700071"/>
    <w:rsid w:val="07EC1266"/>
    <w:rsid w:val="4269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D2C3"/>
  <w15:docId w15:val="{C91522A0-0764-4F79-B992-9341AB30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ETITEBOOK</dc:creator>
  <cp:lastModifiedBy>HP ETITEBOOK</cp:lastModifiedBy>
  <cp:revision>9</cp:revision>
  <dcterms:created xsi:type="dcterms:W3CDTF">2025-05-27T10:18:00Z</dcterms:created>
  <dcterms:modified xsi:type="dcterms:W3CDTF">2025-06-02T20:12:00Z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B1A762E8BA354E89B77842E4D08F7090_12</vt:lpwstr>
  </property>
</Properties>
</file>