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6CDF4">
      <w:pPr>
        <w:jc w:val="center"/>
        <w:rPr>
          <w:rFonts w:hint="default" w:ascii="Times New Roman" w:hAnsi="Times New Roman" w:eastAsia="Calibri"/>
          <w:b/>
          <w:bCs w:val="0"/>
          <w:color w:val="000000" w:themeColor="text1"/>
          <w:kern w:val="0"/>
          <w:sz w:val="28"/>
          <w:szCs w:val="28"/>
          <w:u w:val="none"/>
          <w:lang/>
          <w14:textFill>
            <w14:solidFill>
              <w14:schemeClr w14:val="tx1"/>
            </w14:solidFill>
          </w14:textFill>
          <w14:ligatures w14:val="none"/>
        </w:rPr>
      </w:pPr>
      <w:bookmarkStart w:id="0" w:name="_GoBack"/>
      <w:r>
        <w:rPr>
          <w:rFonts w:hint="default" w:ascii="Times New Roman" w:hAnsi="Times New Roman" w:eastAsia="Calibri"/>
          <w:b/>
          <w:bCs w:val="0"/>
          <w:color w:val="000000" w:themeColor="text1"/>
          <w:kern w:val="0"/>
          <w:sz w:val="28"/>
          <w:szCs w:val="28"/>
          <w:u w:val="none"/>
          <w:lang/>
          <w14:textFill>
            <w14:solidFill>
              <w14:schemeClr w14:val="tx1"/>
            </w14:solidFill>
          </w14:textFill>
          <w14:ligatures w14:val="none"/>
        </w:rPr>
        <w:t>Complications orthopédiques liées aux chutes chez la personne âgée au centre hospitalier de l’Ordre de Malte Dakar-Sénégal de 2021–2023</w:t>
      </w:r>
    </w:p>
    <w:bookmarkEnd w:id="0"/>
    <w:p w14:paraId="3AD17284">
      <w:pPr>
        <w:jc w:val="both"/>
        <w:rPr>
          <w:rFonts w:ascii="Times New Roman" w:hAnsi="Times New Roman" w:eastAsia="Calibri" w:cs="Times New Roman"/>
          <w:bCs/>
          <w:color w:val="000000" w:themeColor="text1"/>
          <w:kern w:val="0"/>
          <w:sz w:val="28"/>
          <w:szCs w:val="28"/>
          <w14:textFill>
            <w14:solidFill>
              <w14:schemeClr w14:val="tx1"/>
            </w14:solidFill>
          </w14:textFill>
          <w14:ligatures w14:val="none"/>
        </w:rPr>
      </w:pPr>
    </w:p>
    <w:p w14:paraId="65B0CD58">
      <w:pPr>
        <w:jc w:val="both"/>
        <w:rPr>
          <w:rFonts w:hint="default" w:ascii="Times New Roman" w:hAnsi="Times New Roman" w:eastAsia="Calibri" w:cs="Times New Roman"/>
          <w:bCs/>
          <w:color w:val="000000" w:themeColor="text1"/>
          <w:kern w:val="0"/>
          <w:sz w:val="28"/>
          <w:szCs w:val="28"/>
          <w:lang/>
          <w14:textFill>
            <w14:solidFill>
              <w14:schemeClr w14:val="tx1"/>
            </w14:solidFill>
          </w14:textFill>
          <w14:ligatures w14:val="none"/>
        </w:rPr>
      </w:pPr>
      <w:r>
        <w:rPr>
          <w:rFonts w:ascii="Times New Roman" w:hAnsi="Times New Roman" w:eastAsia="Calibri" w:cs="Times New Roman"/>
          <w:bCs/>
          <w:color w:val="000000" w:themeColor="text1"/>
          <w:kern w:val="0"/>
          <w:sz w:val="28"/>
          <w:szCs w:val="28"/>
          <w14:textFill>
            <w14:solidFill>
              <w14:schemeClr w14:val="tx1"/>
            </w14:solidFill>
          </w14:textFill>
          <w14:ligatures w14:val="none"/>
        </w:rPr>
        <w:t>Le Sénégal, à l’instar des autres pays en voie de développement est en  transition démographique caractérisée par un vieillissement</w:t>
      </w:r>
      <w:r>
        <w:rPr>
          <w:rFonts w:hint="default" w:ascii="Times New Roman" w:hAnsi="Times New Roman" w:eastAsia="Calibri" w:cs="Times New Roman"/>
          <w:bCs/>
          <w:color w:val="000000" w:themeColor="text1"/>
          <w:kern w:val="0"/>
          <w:sz w:val="28"/>
          <w:szCs w:val="28"/>
          <w:lang/>
          <w14:textFill>
            <w14:solidFill>
              <w14:schemeClr w14:val="tx1"/>
            </w14:solidFill>
          </w14:textFill>
          <w14:ligatures w14:val="none"/>
        </w:rPr>
        <w:t xml:space="preserve"> de sa population</w:t>
      </w:r>
      <w:r>
        <w:rPr>
          <w:rFonts w:ascii="Times New Roman" w:hAnsi="Times New Roman" w:eastAsia="Calibri" w:cs="Times New Roman"/>
          <w:bCs/>
          <w:color w:val="000000" w:themeColor="text1"/>
          <w:kern w:val="0"/>
          <w:sz w:val="28"/>
          <w:szCs w:val="28"/>
          <w14:textFill>
            <w14:solidFill>
              <w14:schemeClr w14:val="tx1"/>
            </w14:solidFill>
          </w14:textFill>
          <w14:ligatures w14:val="none"/>
        </w:rPr>
        <w:t>.</w:t>
      </w:r>
      <w:r>
        <w:rPr>
          <w:rFonts w:hint="default" w:ascii="Times New Roman" w:hAnsi="Times New Roman" w:eastAsia="Calibri" w:cs="Times New Roman"/>
          <w:bCs/>
          <w:color w:val="000000" w:themeColor="text1"/>
          <w:kern w:val="0"/>
          <w:sz w:val="28"/>
          <w:szCs w:val="28"/>
          <w:lang/>
          <w14:textFill>
            <w14:solidFill>
              <w14:schemeClr w14:val="tx1"/>
            </w14:solidFill>
          </w14:textFill>
          <w14:ligatures w14:val="none"/>
        </w:rPr>
        <w:t xml:space="preserve"> L’objectif était d’étudier les aspects </w:t>
      </w:r>
      <w:r>
        <w:rPr>
          <w:rFonts w:hint="default" w:ascii="Times New Roman" w:hAnsi="Times New Roman" w:eastAsia="Calibri"/>
          <w:bCs/>
          <w:color w:val="000000" w:themeColor="text1"/>
          <w:kern w:val="0"/>
          <w:sz w:val="28"/>
          <w:szCs w:val="28"/>
          <w:lang/>
          <w14:textFill>
            <w14:solidFill>
              <w14:schemeClr w14:val="tx1"/>
            </w14:solidFill>
          </w14:textFill>
          <w14:ligatures w14:val="none"/>
        </w:rPr>
        <w:t xml:space="preserve">épidémiologiques, diagnostiques, thérapeutiques et évolutifs Complications orthopédiques liées aux chutes de la personne âgée.  </w:t>
      </w:r>
    </w:p>
    <w:p w14:paraId="27E621E6">
      <w:pPr>
        <w:jc w:val="both"/>
        <w:rPr>
          <w:rFonts w:ascii="Times New Roman" w:hAnsi="Times New Roman" w:eastAsia="Calibri" w:cs="Times New Roman"/>
          <w:bCs/>
          <w:color w:val="000000" w:themeColor="text1"/>
          <w:kern w:val="0"/>
          <w:sz w:val="28"/>
          <w:szCs w:val="28"/>
          <w14:textFill>
            <w14:solidFill>
              <w14:schemeClr w14:val="tx1"/>
            </w14:solidFill>
          </w14:textFill>
          <w14:ligatures w14:val="none"/>
        </w:rPr>
      </w:pPr>
      <w:r>
        <w:rPr>
          <w:rFonts w:ascii="Times New Roman" w:hAnsi="Times New Roman" w:eastAsia="Calibri" w:cs="Times New Roman"/>
          <w:bCs/>
          <w:color w:val="000000" w:themeColor="text1"/>
          <w:kern w:val="0"/>
          <w:sz w:val="28"/>
          <w:szCs w:val="28"/>
          <w14:textFill>
            <w14:solidFill>
              <w14:schemeClr w14:val="tx1"/>
            </w14:solidFill>
          </w14:textFill>
          <w14:ligatures w14:val="none"/>
        </w:rPr>
        <w:t>Ont</w:t>
      </w:r>
      <w:r>
        <w:rPr>
          <w:rFonts w:ascii="Times New Roman" w:hAnsi="Times New Roman" w:eastAsia="Calibri" w:cs="Times New Roman"/>
          <w:b/>
          <w:color w:val="000000" w:themeColor="text1"/>
          <w:kern w:val="0"/>
          <w:sz w:val="28"/>
          <w:szCs w:val="28"/>
          <w14:textFill>
            <w14:solidFill>
              <w14:schemeClr w14:val="tx1"/>
            </w14:solidFill>
          </w14:textFill>
          <w14:ligatures w14:val="none"/>
        </w:rPr>
        <w:t xml:space="preserve"> </w:t>
      </w:r>
      <w:r>
        <w:rPr>
          <w:rFonts w:ascii="Times New Roman" w:hAnsi="Times New Roman" w:eastAsia="Calibri" w:cs="Times New Roman"/>
          <w:bCs/>
          <w:color w:val="000000" w:themeColor="text1"/>
          <w:kern w:val="0"/>
          <w:sz w:val="28"/>
          <w:szCs w:val="28"/>
          <w14:textFill>
            <w14:solidFill>
              <w14:schemeClr w14:val="tx1"/>
            </w14:solidFill>
          </w14:textFill>
          <w14:ligatures w14:val="none"/>
        </w:rPr>
        <w:t xml:space="preserve">été inclus dans cette étude les patients âgés de 60 ans et plus, qui présentaient une complication orthopédique suite à une chute, hospitalisés au centre hospitalier de l’Ordre de Malte de janvier 2021 à décembre 2023. </w:t>
      </w:r>
    </w:p>
    <w:p w14:paraId="013D28ED">
      <w:pPr>
        <w:jc w:val="both"/>
        <w:rPr>
          <w:rFonts w:ascii="Times New Roman" w:hAnsi="Times New Roman"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Calibri" w:cs="Times New Roman"/>
          <w:bCs/>
          <w:color w:val="000000" w:themeColor="text1"/>
          <w:kern w:val="0"/>
          <w:sz w:val="28"/>
          <w:szCs w:val="28"/>
          <w:lang/>
          <w14:textFill>
            <w14:solidFill>
              <w14:schemeClr w14:val="tx1"/>
            </w14:solidFill>
          </w14:textFill>
          <w14:ligatures w14:val="none"/>
        </w:rPr>
        <w:t xml:space="preserve">Au total, </w:t>
      </w:r>
      <w:r>
        <w:rPr>
          <w:rFonts w:ascii="Times New Roman" w:hAnsi="Times New Roman" w:eastAsia="Calibri" w:cs="Times New Roman"/>
          <w:bCs/>
          <w:color w:val="000000" w:themeColor="text1"/>
          <w:kern w:val="0"/>
          <w:sz w:val="28"/>
          <w:szCs w:val="28"/>
          <w14:textFill>
            <w14:solidFill>
              <w14:schemeClr w14:val="tx1"/>
            </w14:solidFill>
          </w14:textFill>
          <w14:ligatures w14:val="none"/>
        </w:rPr>
        <w:t>219</w:t>
      </w:r>
      <w:r>
        <w:rPr>
          <w:rFonts w:hint="default" w:ascii="Times New Roman" w:hAnsi="Times New Roman" w:eastAsia="Calibri" w:cs="Times New Roman"/>
          <w:bCs/>
          <w:color w:val="000000" w:themeColor="text1"/>
          <w:kern w:val="0"/>
          <w:sz w:val="28"/>
          <w:szCs w:val="28"/>
          <w:lang/>
          <w14:textFill>
            <w14:solidFill>
              <w14:schemeClr w14:val="tx1"/>
            </w14:solidFill>
          </w14:textFill>
          <w14:ligatures w14:val="none"/>
        </w:rPr>
        <w:t xml:space="preserve"> </w:t>
      </w:r>
      <w:r>
        <w:rPr>
          <w:rFonts w:ascii="Times New Roman" w:hAnsi="Times New Roman" w:eastAsia="Calibri" w:cs="Times New Roman"/>
          <w:bCs/>
          <w:color w:val="000000" w:themeColor="text1"/>
          <w:kern w:val="0"/>
          <w:sz w:val="28"/>
          <w:szCs w:val="28"/>
          <w14:textFill>
            <w14:solidFill>
              <w14:schemeClr w14:val="tx1"/>
            </w14:solidFill>
          </w14:textFill>
          <w14:ligatures w14:val="none"/>
        </w:rPr>
        <w:t>patients</w:t>
      </w:r>
      <w:r>
        <w:rPr>
          <w:rFonts w:hint="default" w:ascii="Times New Roman" w:hAnsi="Times New Roman" w:eastAsia="Calibri" w:cs="Times New Roman"/>
          <w:bCs/>
          <w:color w:val="000000" w:themeColor="text1"/>
          <w:kern w:val="0"/>
          <w:sz w:val="28"/>
          <w:szCs w:val="28"/>
          <w:lang/>
          <w14:textFill>
            <w14:solidFill>
              <w14:schemeClr w14:val="tx1"/>
            </w14:solidFill>
          </w14:textFill>
          <w14:ligatures w14:val="none"/>
        </w:rPr>
        <w:t xml:space="preserve"> ont été </w:t>
      </w:r>
      <w:r>
        <w:rPr>
          <w:rFonts w:ascii="Times New Roman" w:hAnsi="Times New Roman" w:eastAsia="Calibri" w:cs="Times New Roman"/>
          <w:bCs/>
          <w:color w:val="000000" w:themeColor="text1"/>
          <w:kern w:val="0"/>
          <w:sz w:val="28"/>
          <w:szCs w:val="28"/>
          <w14:textFill>
            <w14:solidFill>
              <w14:schemeClr w14:val="tx1"/>
            </w14:solidFill>
          </w14:textFill>
          <w14:ligatures w14:val="none"/>
        </w:rPr>
        <w:t>colligé</w:t>
      </w:r>
      <w:r>
        <w:rPr>
          <w:rFonts w:hint="default" w:ascii="Times New Roman" w:hAnsi="Times New Roman" w:eastAsia="Calibri" w:cs="Times New Roman"/>
          <w:bCs/>
          <w:color w:val="000000" w:themeColor="text1"/>
          <w:kern w:val="0"/>
          <w:sz w:val="28"/>
          <w:szCs w:val="28"/>
          <w:lang/>
          <w14:textFill>
            <w14:solidFill>
              <w14:schemeClr w14:val="tx1"/>
            </w14:solidFill>
          </w14:textFill>
          <w14:ligatures w14:val="none"/>
        </w:rPr>
        <w:t>s</w:t>
      </w:r>
      <w:r>
        <w:rPr>
          <w:rFonts w:ascii="Times New Roman" w:hAnsi="Times New Roman" w:eastAsia="Calibri" w:cs="Times New Roman"/>
          <w:bCs/>
          <w:color w:val="000000" w:themeColor="text1"/>
          <w:kern w:val="0"/>
          <w:sz w:val="28"/>
          <w:szCs w:val="28"/>
          <w14:textFill>
            <w14:solidFill>
              <w14:schemeClr w14:val="tx1"/>
            </w14:solidFill>
          </w14:textFill>
          <w14:ligatures w14:val="none"/>
        </w:rPr>
        <w:t>.</w:t>
      </w:r>
      <w:r>
        <w:rPr>
          <w:rFonts w:ascii="Times New Roman" w:hAnsi="Times New Roman" w:eastAsia="Calibri" w:cs="Times New Roman"/>
          <w:bCs/>
          <w:color w:val="000000" w:themeColor="text1"/>
          <w:sz w:val="28"/>
          <w:szCs w:val="28"/>
          <w14:textFill>
            <w14:solidFill>
              <w14:schemeClr w14:val="tx1"/>
            </w14:solidFill>
          </w14:textFill>
        </w:rPr>
        <w:t xml:space="preserve"> L’âge moyen était de </w:t>
      </w:r>
      <w:r>
        <w:rPr>
          <w:rFonts w:ascii="Times New Roman" w:hAnsi="Times New Roman" w:cs="Times New Roman"/>
          <w:color w:val="000000" w:themeColor="text1"/>
          <w:sz w:val="28"/>
          <w:szCs w:val="28"/>
          <w14:textFill>
            <w14:solidFill>
              <w14:schemeClr w14:val="tx1"/>
            </w14:solidFill>
          </w14:textFill>
        </w:rPr>
        <w:t xml:space="preserve">74 ans </w:t>
      </w:r>
      <w:r>
        <w:rPr>
          <w:rFonts w:asciiTheme="majorBidi" w:hAnsiTheme="majorBidi" w:cstheme="majorBidi"/>
          <w:color w:val="000000" w:themeColor="text1"/>
          <w:sz w:val="28"/>
          <w:szCs w:val="28"/>
          <w14:textFill>
            <w14:solidFill>
              <w14:schemeClr w14:val="tx1"/>
            </w14:solidFill>
          </w14:textFill>
        </w:rPr>
        <w:t>± 9,36 ans</w:t>
      </w:r>
      <w:r>
        <w:rPr>
          <w:rFonts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lang/>
          <w14:textFill>
            <w14:solidFill>
              <w14:schemeClr w14:val="tx1"/>
            </w14:solidFill>
          </w14:textFill>
        </w:rPr>
        <w:t>avec une</w:t>
      </w:r>
      <w:r>
        <w:rPr>
          <w:rFonts w:ascii="Times New Roman" w:hAnsi="Times New Roman" w:cs="Times New Roman"/>
          <w:color w:val="000000" w:themeColor="text1"/>
          <w:sz w:val="28"/>
          <w:szCs w:val="28"/>
          <w14:textFill>
            <w14:solidFill>
              <w14:schemeClr w14:val="tx1"/>
            </w14:solidFill>
          </w14:textFill>
        </w:rPr>
        <w:t xml:space="preserve"> prédominance féminine (sex-ratio </w:t>
      </w:r>
      <w:r>
        <w:rPr>
          <w:rFonts w:hint="default" w:ascii="Times New Roman" w:hAnsi="Times New Roman" w:cs="Times New Roman"/>
          <w:color w:val="000000" w:themeColor="text1"/>
          <w:sz w:val="28"/>
          <w:szCs w:val="28"/>
          <w:lang/>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0,54</w:t>
      </w:r>
      <w:r>
        <w:rPr>
          <w:rFonts w:hint="default" w:ascii="Times New Roman" w:hAnsi="Times New Roman" w:cs="Times New Roman"/>
          <w:color w:val="000000" w:themeColor="text1"/>
          <w:sz w:val="28"/>
          <w:szCs w:val="28"/>
          <w:lang/>
          <w14:textFill>
            <w14:solidFill>
              <w14:schemeClr w14:val="tx1"/>
            </w14:solidFill>
          </w14:textFill>
        </w:rPr>
        <w:t>).</w:t>
      </w:r>
      <w:r>
        <w:rPr>
          <w:rFonts w:ascii="Times New Roman" w:hAnsi="Times New Roman" w:cs="Times New Roman"/>
          <w:color w:val="000000" w:themeColor="text1"/>
          <w:sz w:val="28"/>
          <w:szCs w:val="28"/>
          <w:shd w:val="clear" w:color="auto" w:fill="FFFFFF"/>
          <w14:textFill>
            <w14:solidFill>
              <w14:schemeClr w14:val="tx1"/>
            </w14:solidFill>
          </w14:textFill>
        </w:rPr>
        <w:t xml:space="preserve"> La</w:t>
      </w:r>
      <w:r>
        <w:rPr>
          <w:rFonts w:hint="default" w:ascii="Times New Roman" w:hAnsi="Times New Roman" w:cs="Times New Roman"/>
          <w:color w:val="000000" w:themeColor="text1"/>
          <w:sz w:val="28"/>
          <w:szCs w:val="28"/>
          <w:shd w:val="clear" w:color="auto" w:fill="FFFFFF"/>
          <w:lang/>
          <w14:textFill>
            <w14:solidFill>
              <w14:schemeClr w14:val="tx1"/>
            </w14:solidFill>
          </w14:textFill>
        </w:rPr>
        <w:t xml:space="preserve"> </w:t>
      </w:r>
      <w:r>
        <w:rPr>
          <w:rFonts w:ascii="Times New Roman" w:hAnsi="Times New Roman" w:cs="Times New Roman"/>
          <w:color w:val="000000" w:themeColor="text1"/>
          <w:sz w:val="28"/>
          <w:szCs w:val="28"/>
          <w:shd w:val="clear" w:color="auto" w:fill="FFFFFF"/>
          <w14:textFill>
            <w14:solidFill>
              <w14:schemeClr w14:val="tx1"/>
            </w14:solidFill>
          </w14:textFill>
        </w:rPr>
        <w:t>facture</w:t>
      </w:r>
      <w:r>
        <w:rPr>
          <w:rFonts w:hint="default" w:ascii="Times New Roman" w:hAnsi="Times New Roman" w:cs="Times New Roman"/>
          <w:color w:val="000000" w:themeColor="text1"/>
          <w:sz w:val="28"/>
          <w:szCs w:val="28"/>
          <w:shd w:val="clear" w:color="auto" w:fill="FFFFFF"/>
          <w:lang/>
          <w14:textFill>
            <w14:solidFill>
              <w14:schemeClr w14:val="tx1"/>
            </w14:solidFill>
          </w14:textFill>
        </w:rPr>
        <w:t xml:space="preserve"> </w:t>
      </w:r>
      <w:r>
        <w:rPr>
          <w:rFonts w:ascii="Times New Roman" w:hAnsi="Times New Roman" w:cs="Times New Roman"/>
          <w:color w:val="000000" w:themeColor="text1"/>
          <w:sz w:val="28"/>
          <w:szCs w:val="28"/>
          <w:shd w:val="clear" w:color="auto" w:fill="FFFFFF"/>
          <w14:textFill>
            <w14:solidFill>
              <w14:schemeClr w14:val="tx1"/>
            </w14:solidFill>
          </w14:textFill>
        </w:rPr>
        <w:t>était</w:t>
      </w:r>
      <w:r>
        <w:rPr>
          <w:rFonts w:hint="default" w:ascii="Times New Roman" w:hAnsi="Times New Roman" w:cs="Times New Roman"/>
          <w:color w:val="000000" w:themeColor="text1"/>
          <w:sz w:val="28"/>
          <w:szCs w:val="28"/>
          <w:shd w:val="clear" w:color="auto" w:fill="FFFFFF"/>
          <w:lang/>
          <w14:textFill>
            <w14:solidFill>
              <w14:schemeClr w14:val="tx1"/>
            </w14:solidFill>
          </w14:textFill>
        </w:rPr>
        <w:t xml:space="preserve"> la </w:t>
      </w:r>
      <w:r>
        <w:rPr>
          <w:rFonts w:ascii="Times New Roman" w:hAnsi="Times New Roman" w:cs="Times New Roman"/>
          <w:color w:val="000000" w:themeColor="text1"/>
          <w:sz w:val="28"/>
          <w:szCs w:val="28"/>
          <w:shd w:val="clear" w:color="auto" w:fill="FFFFFF"/>
          <w14:textFill>
            <w14:solidFill>
              <w14:schemeClr w14:val="tx1"/>
            </w14:solidFill>
          </w14:textFill>
        </w:rPr>
        <w:t>lésion la plus fréquente (84,01%)</w:t>
      </w:r>
      <w:r>
        <w:rPr>
          <w:rFonts w:hint="default" w:ascii="Times New Roman" w:hAnsi="Times New Roman" w:cs="Times New Roman"/>
          <w:color w:val="000000" w:themeColor="text1"/>
          <w:sz w:val="28"/>
          <w:szCs w:val="28"/>
          <w:shd w:val="clear" w:color="auto" w:fill="FFFFFF"/>
          <w:lang/>
          <w14:textFill>
            <w14:solidFill>
              <w14:schemeClr w14:val="tx1"/>
            </w14:solidFill>
          </w14:textFill>
        </w:rPr>
        <w:t xml:space="preserve"> avec une prédominance au</w:t>
      </w:r>
      <w:r>
        <w:rPr>
          <w:rFonts w:ascii="Times New Roman" w:hAnsi="Times New Roman" w:cs="Times New Roman"/>
          <w:color w:val="000000" w:themeColor="text1"/>
          <w:sz w:val="28"/>
          <w:szCs w:val="28"/>
          <w:shd w:val="clear" w:color="auto" w:fill="FFFFFF"/>
          <w14:textFill>
            <w14:solidFill>
              <w14:schemeClr w14:val="tx1"/>
            </w14:solidFill>
          </w14:textFill>
        </w:rPr>
        <w:t xml:space="preserve"> membre inférieur (73,97 %).</w:t>
      </w:r>
      <w:r>
        <w:rPr>
          <w:rFonts w:ascii="Times New Roman" w:hAnsi="Times New Roman" w:cs="Times New Roman"/>
          <w:color w:val="000000" w:themeColor="text1"/>
          <w:sz w:val="28"/>
          <w:szCs w:val="28"/>
          <w14:textFill>
            <w14:solidFill>
              <w14:schemeClr w14:val="tx1"/>
            </w14:solidFill>
          </w14:textFill>
        </w:rPr>
        <w:t xml:space="preserve"> Les facteurs favorisants étaient dominés par les facteurs extrinsèques (94,06 %) dont le faux (37,75 %). La majorité de nos patients (76,26 %) avaient chuté à domicile. Le traitement chirurgical conservateur était le plus utilisé (31,51 %)</w:t>
      </w:r>
      <w:r>
        <w:rPr>
          <w:rFonts w:ascii="Times New Roman" w:hAnsi="Times New Roman" w:cs="Times New Roman"/>
          <w:color w:val="000000" w:themeColor="text1"/>
          <w:sz w:val="28"/>
          <w:szCs w:val="28"/>
          <w:shd w:val="clear" w:color="auto" w:fill="FFFFFF"/>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L’évolution était favorable chez 35,16 % de nos patients. Le cal vicieux était la complication la plus retrouvée (12,77 %). La durée moyenne d’hospitalisation était de 4,82 jours.</w:t>
      </w:r>
      <w:r>
        <w:rPr>
          <w:rFonts w:hint="default" w:ascii="Times New Roman" w:hAnsi="Times New Roman" w:cs="Times New Roman"/>
          <w:color w:val="000000" w:themeColor="text1"/>
          <w:sz w:val="28"/>
          <w:szCs w:val="28"/>
          <w:lang/>
          <w14:textFill>
            <w14:solidFill>
              <w14:schemeClr w14:val="tx1"/>
            </w14:solidFill>
          </w14:textFill>
        </w:rPr>
        <w:t xml:space="preserve"> Elle était </w:t>
      </w:r>
      <w:r>
        <w:rPr>
          <w:rFonts w:ascii="Times New Roman" w:hAnsi="Times New Roman" w:cs="Times New Roman"/>
          <w:color w:val="000000" w:themeColor="text1"/>
          <w:sz w:val="28"/>
          <w:szCs w:val="28"/>
          <w:shd w:val="clear" w:color="auto" w:fill="FFFFFF"/>
          <w14:textFill>
            <w14:solidFill>
              <w14:schemeClr w14:val="tx1"/>
            </w14:solidFill>
          </w14:textFill>
        </w:rPr>
        <w:t xml:space="preserve">statistiquement </w:t>
      </w:r>
      <w:r>
        <w:rPr>
          <w:rFonts w:hint="default" w:ascii="Times New Roman" w:hAnsi="Times New Roman" w:cs="Times New Roman"/>
          <w:color w:val="000000" w:themeColor="text1"/>
          <w:sz w:val="28"/>
          <w:szCs w:val="28"/>
          <w:shd w:val="clear" w:color="auto" w:fill="FFFFFF"/>
          <w:lang/>
          <w14:textFill>
            <w14:solidFill>
              <w14:schemeClr w14:val="tx1"/>
            </w14:solidFill>
          </w14:textFill>
        </w:rPr>
        <w:t xml:space="preserve">liée à </w:t>
      </w:r>
      <w:r>
        <w:rPr>
          <w:rFonts w:ascii="Times New Roman" w:hAnsi="Times New Roman" w:cs="Times New Roman"/>
          <w:color w:val="000000" w:themeColor="text1"/>
          <w:sz w:val="28"/>
          <w:szCs w:val="28"/>
          <w:shd w:val="clear" w:color="auto" w:fill="FFFFFF"/>
          <w14:textFill>
            <w14:solidFill>
              <w14:schemeClr w14:val="tx1"/>
            </w14:solidFill>
          </w14:textFill>
        </w:rPr>
        <w:t xml:space="preserve">l’âge et les comorbidités </w:t>
      </w:r>
    </w:p>
    <w:p w14:paraId="0DD614CB">
      <w:pPr>
        <w:rPr>
          <w:rFonts w:ascii="Times New Roman" w:hAnsi="Times New Roman" w:cs="Times New Roman"/>
          <w:color w:val="000000" w:themeColor="text1"/>
          <w:sz w:val="28"/>
          <w:szCs w:val="28"/>
          <w:shd w:val="clear" w:color="auto" w:fill="FFFFFF"/>
          <w14:textFill>
            <w14:solidFill>
              <w14:schemeClr w14:val="tx1"/>
            </w14:solidFill>
          </w14:textFill>
        </w:rPr>
      </w:pPr>
      <w:r>
        <w:rPr>
          <w:rFonts w:ascii="Times New Roman" w:hAnsi="Times New Roman" w:cs="Times New Roman"/>
          <w:color w:val="000000" w:themeColor="text1"/>
          <w:sz w:val="28"/>
          <w:szCs w:val="28"/>
          <w:shd w:val="clear" w:color="auto" w:fill="FFFFFF"/>
          <w14:textFill>
            <w14:solidFill>
              <w14:schemeClr w14:val="tx1"/>
            </w14:solidFill>
          </w14:textFill>
        </w:rPr>
        <w:t>Cardiovasculaires</w:t>
      </w:r>
      <w:r>
        <w:rPr>
          <w:rFonts w:hint="default" w:ascii="Times New Roman" w:hAnsi="Times New Roman" w:cs="Times New Roman"/>
          <w:color w:val="000000" w:themeColor="text1"/>
          <w:sz w:val="28"/>
          <w:szCs w:val="28"/>
          <w:shd w:val="clear" w:color="auto" w:fill="FFFFFF"/>
          <w:lang/>
          <w14:textFill>
            <w14:solidFill>
              <w14:schemeClr w14:val="tx1"/>
            </w14:solidFill>
          </w14:textFill>
        </w:rPr>
        <w:t>.</w:t>
      </w:r>
      <w:r>
        <w:rPr>
          <w:rFonts w:ascii="Times New Roman" w:hAnsi="Times New Roman" w:cs="Times New Roman"/>
          <w:color w:val="000000" w:themeColor="text1"/>
          <w:sz w:val="28"/>
          <w:szCs w:val="28"/>
          <w:shd w:val="clear" w:color="auto" w:fill="FFFFFF"/>
          <w14:textFill>
            <w14:solidFill>
              <w14:schemeClr w14:val="tx1"/>
            </w14:solidFill>
          </w14:textFill>
        </w:rPr>
        <w:t xml:space="preserve"> </w:t>
      </w:r>
    </w:p>
    <w:p w14:paraId="1EA59DF2">
      <w:pPr>
        <w:jc w:val="both"/>
        <w:rPr>
          <w:rFonts w:ascii="Times New Roman" w:hAnsi="Times New Roman" w:cs="Times New Roman"/>
          <w:color w:val="000000" w:themeColor="text1"/>
          <w:sz w:val="28"/>
          <w:szCs w:val="28"/>
          <w:shd w:val="clear" w:color="auto" w:fill="FFFFFF"/>
          <w14:textFill>
            <w14:solidFill>
              <w14:schemeClr w14:val="tx1"/>
            </w14:solidFill>
          </w14:textFill>
        </w:rPr>
      </w:pPr>
    </w:p>
    <w:p w14:paraId="586B5C6E">
      <w:pPr>
        <w:jc w:val="both"/>
        <w:rPr>
          <w:rFonts w:ascii="Times New Roman" w:hAnsi="Times New Roman" w:cs="Times New Roman"/>
          <w:color w:val="000000" w:themeColor="text1"/>
          <w:sz w:val="28"/>
          <w:szCs w:val="28"/>
          <w:shd w:val="clear" w:color="auto" w:fill="FFFFFF"/>
          <w14:textFill>
            <w14:solidFill>
              <w14:schemeClr w14:val="tx1"/>
            </w14:solidFill>
          </w14:textFill>
        </w:rPr>
      </w:pPr>
      <w:r>
        <w:rPr>
          <w:rFonts w:ascii="Times New Roman" w:hAnsi="Times New Roman" w:cs="Times New Roman"/>
          <w:color w:val="000000" w:themeColor="text1"/>
          <w:sz w:val="28"/>
          <w:szCs w:val="28"/>
          <w:shd w:val="clear" w:color="auto" w:fill="FFFFFF"/>
          <w14:textFill>
            <w14:solidFill>
              <w14:schemeClr w14:val="tx1"/>
            </w14:solidFill>
          </w14:textFill>
        </w:rPr>
        <w:t>Cette étude plaide en faveur de la gestion adéquate des comorbidités et des facteurs de risques liés aux chutes chez les personnes âgées. Il convient de prendre en charge ces facteurs de risques de manière appropriée avec une évaluation préopératoire correcte</w:t>
      </w:r>
      <w:r>
        <w:rPr>
          <w:rFonts w:hint="default" w:ascii="Times New Roman" w:hAnsi="Times New Roman" w:cs="Times New Roman"/>
          <w:color w:val="000000" w:themeColor="text1"/>
          <w:sz w:val="28"/>
          <w:szCs w:val="28"/>
          <w:shd w:val="clear" w:color="auto" w:fill="FFFFFF"/>
          <w:lang/>
          <w14:textFill>
            <w14:solidFill>
              <w14:schemeClr w14:val="tx1"/>
            </w14:solidFill>
          </w14:textFill>
        </w:rPr>
        <w:t xml:space="preserve"> et</w:t>
      </w:r>
      <w:r>
        <w:rPr>
          <w:rFonts w:ascii="Times New Roman" w:hAnsi="Times New Roman" w:cs="Times New Roman"/>
          <w:color w:val="000000" w:themeColor="text1"/>
          <w:sz w:val="28"/>
          <w:szCs w:val="28"/>
          <w:shd w:val="clear" w:color="auto" w:fill="FFFFFF"/>
          <w14:textFill>
            <w14:solidFill>
              <w14:schemeClr w14:val="tx1"/>
            </w14:solidFill>
          </w14:textFill>
        </w:rPr>
        <w:t xml:space="preserve"> des soins péri-opératoires adéquats</w:t>
      </w:r>
      <w:r>
        <w:rPr>
          <w:rFonts w:hint="default" w:ascii="Times New Roman" w:hAnsi="Times New Roman" w:cs="Times New Roman"/>
          <w:color w:val="000000" w:themeColor="text1"/>
          <w:sz w:val="28"/>
          <w:szCs w:val="28"/>
          <w:shd w:val="clear" w:color="auto" w:fill="FFFFFF"/>
          <w:lang/>
          <w14:textFill>
            <w14:solidFill>
              <w14:schemeClr w14:val="tx1"/>
            </w14:solidFill>
          </w14:textFill>
        </w:rPr>
        <w:t xml:space="preserve">. </w:t>
      </w:r>
      <w:r>
        <w:rPr>
          <w:rFonts w:ascii="Times New Roman" w:hAnsi="Times New Roman" w:cs="Times New Roman"/>
          <w:color w:val="000000" w:themeColor="text1"/>
          <w:sz w:val="28"/>
          <w:szCs w:val="28"/>
          <w:shd w:val="clear" w:color="auto" w:fill="FFFFFF"/>
          <w14:textFill>
            <w14:solidFill>
              <w14:schemeClr w14:val="tx1"/>
            </w14:solidFill>
          </w14:textFill>
        </w:rPr>
        <w:t xml:space="preserve"> </w:t>
      </w:r>
    </w:p>
    <w:p w14:paraId="0FF71C2F">
      <w:pPr>
        <w:rPr>
          <w:rFonts w:hint="default" w:ascii="Times New Roman" w:hAnsi="Times New Roman" w:cs="Times New Roman"/>
          <w:sz w:val="24"/>
          <w:szCs w:val="24"/>
        </w:rPr>
      </w:pPr>
      <w:r>
        <w:rPr>
          <w:rFonts w:ascii="Times New Roman" w:hAnsi="Times New Roman" w:cs="Times New Roman"/>
          <w:b/>
          <w:bCs/>
          <w:color w:val="000000" w:themeColor="text1"/>
          <w:sz w:val="28"/>
          <w:szCs w:val="28"/>
          <w:u w:val="none"/>
          <w:shd w:val="clear" w:color="auto" w:fill="FFFFFF"/>
          <w14:textFill>
            <w14:solidFill>
              <w14:schemeClr w14:val="tx1"/>
            </w14:solidFill>
          </w14:textFill>
        </w:rPr>
        <w:t xml:space="preserve">Mots clés : </w:t>
      </w:r>
      <w:r>
        <w:rPr>
          <w:rFonts w:ascii="Times New Roman" w:hAnsi="Times New Roman" w:cs="Times New Roman"/>
          <w:color w:val="000000" w:themeColor="text1"/>
          <w:sz w:val="28"/>
          <w:szCs w:val="28"/>
          <w:shd w:val="clear" w:color="auto" w:fill="FFFFFF"/>
          <w14:textFill>
            <w14:solidFill>
              <w14:schemeClr w14:val="tx1"/>
            </w14:solidFill>
          </w14:textFill>
        </w:rPr>
        <w:t>complication orthopédique – chute – personne âgé</w:t>
      </w:r>
      <w:r>
        <w:rPr>
          <w:rFonts w:hint="default" w:ascii="Times New Roman" w:hAnsi="Times New Roman" w:cs="Times New Roman"/>
          <w:color w:val="000000" w:themeColor="text1"/>
          <w:sz w:val="28"/>
          <w:szCs w:val="28"/>
          <w:shd w:val="clear" w:color="auto" w:fill="FFFFFF"/>
          <w14:textFill>
            <w14:solidFill>
              <w14:schemeClr w14:val="tx1"/>
            </w14:solidFill>
          </w14:textFill>
        </w:rPr>
        <w:t>es</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F247F"/>
    <w:rsid w:val="056F247F"/>
    <w:rsid w:val="706E7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fr-FR" w:eastAsia="en-US" w:bidi="ar-SA"/>
      <w14:ligatures w14:val="standardContextual"/>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2025-06-29T03:49:00Z</dcterms:created>
  <dc:creator>Cheikh Tacko Diop</dc:creator>
  <cp:lastModifiedBy>Cheikh Tacko Diop</cp:lastModifiedBy>
  <dcterms:modified xsi:type="dcterms:W3CDTF">2025-06-29T04:35:34Z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294AFAD59E934813A4B725D9328C29C6_11</vt:lpwstr>
  </property>
</Properties>
</file>