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E226" w14:textId="77777777" w:rsidR="000C625E" w:rsidRPr="00F65AB0" w:rsidRDefault="000C625E" w:rsidP="00327896">
      <w:pPr>
        <w:pStyle w:val="Titre"/>
        <w:jc w:val="both"/>
        <w:rPr>
          <w:rFonts w:ascii="Calibri" w:hAnsi="Calibri" w:cs="Calibri"/>
          <w:b/>
          <w:bCs/>
          <w:sz w:val="32"/>
          <w:szCs w:val="32"/>
        </w:rPr>
      </w:pPr>
      <w:r w:rsidRPr="00F65AB0">
        <w:rPr>
          <w:rFonts w:ascii="Calibri" w:hAnsi="Calibri" w:cs="Calibri"/>
          <w:b/>
          <w:bCs/>
          <w:sz w:val="32"/>
          <w:szCs w:val="32"/>
        </w:rPr>
        <w:t>Occasions manquées de vaccination chez les enfants de 12 à 23 mois à Conakry (Guinée) en 2024 : facteurs associés et implications pour la couverture vaccinale</w:t>
      </w:r>
    </w:p>
    <w:p w14:paraId="486378BF" w14:textId="77777777" w:rsidR="002D46A0" w:rsidRPr="00327896" w:rsidRDefault="002D46A0" w:rsidP="002D46A0">
      <w:pPr>
        <w:pStyle w:val="Titre1"/>
        <w:rPr>
          <w:rFonts w:ascii="Calibri" w:hAnsi="Calibri" w:cs="Calibri"/>
          <w:sz w:val="24"/>
          <w:szCs w:val="24"/>
        </w:rPr>
      </w:pPr>
      <w:r w:rsidRPr="00327896">
        <w:rPr>
          <w:rFonts w:ascii="Calibri" w:hAnsi="Calibri" w:cs="Calibri"/>
          <w:sz w:val="24"/>
          <w:szCs w:val="24"/>
        </w:rPr>
        <w:t>Auteurs et affiliations</w:t>
      </w:r>
    </w:p>
    <w:p w14:paraId="11B4EE6D" w14:textId="64250345" w:rsidR="002D46A0" w:rsidRPr="00B12C85" w:rsidRDefault="002D46A0" w:rsidP="001A2176">
      <w:pPr>
        <w:spacing w:line="240" w:lineRule="auto"/>
        <w:rPr>
          <w:rFonts w:cs="Calibri"/>
          <w:vertAlign w:val="superscript"/>
          <w:lang w:val="en-US"/>
        </w:rPr>
      </w:pPr>
      <w:r w:rsidRPr="00B12C85">
        <w:rPr>
          <w:rFonts w:cs="Calibri"/>
          <w:lang w:val="en-US"/>
        </w:rPr>
        <w:t>Niouma Nestor Leno</w:t>
      </w:r>
      <w:r w:rsidRPr="00B12C85">
        <w:rPr>
          <w:rFonts w:cs="Calibri"/>
          <w:vertAlign w:val="superscript"/>
          <w:lang w:val="en-US"/>
        </w:rPr>
        <w:t>1,2,3</w:t>
      </w:r>
      <w:r w:rsidRPr="00B12C85">
        <w:rPr>
          <w:rFonts w:cs="Calibri"/>
          <w:lang w:val="en-US"/>
        </w:rPr>
        <w:t xml:space="preserve">, </w:t>
      </w:r>
      <w:r w:rsidR="00697CBF" w:rsidRPr="00B12C85">
        <w:rPr>
          <w:rFonts w:cs="Calibri"/>
          <w:lang w:val="en-US"/>
        </w:rPr>
        <w:t>Saa Thomas Kamano</w:t>
      </w:r>
      <w:r w:rsidR="00697CBF" w:rsidRPr="00B12C85">
        <w:rPr>
          <w:rFonts w:cs="Calibri"/>
          <w:vertAlign w:val="superscript"/>
          <w:lang w:val="en-US"/>
        </w:rPr>
        <w:t>3</w:t>
      </w:r>
      <w:r w:rsidR="00B12C85" w:rsidRPr="00B12C85">
        <w:rPr>
          <w:rFonts w:cs="Calibri"/>
          <w:lang w:val="en-US"/>
        </w:rPr>
        <w:t xml:space="preserve">, </w:t>
      </w:r>
      <w:r w:rsidR="00B12C85">
        <w:rPr>
          <w:rFonts w:cs="Calibri"/>
          <w:lang w:val="en-US"/>
        </w:rPr>
        <w:t>Albert Camara</w:t>
      </w:r>
      <w:r w:rsidR="00B12C85">
        <w:rPr>
          <w:rFonts w:cs="Calibri"/>
          <w:vertAlign w:val="superscript"/>
          <w:lang w:val="en-US"/>
        </w:rPr>
        <w:t>3</w:t>
      </w:r>
      <w:r w:rsidR="00B12C85">
        <w:rPr>
          <w:rFonts w:cs="Calibri"/>
          <w:lang w:val="en-US"/>
        </w:rPr>
        <w:t>, Daman Keita</w:t>
      </w:r>
      <w:r w:rsidR="00B12C85">
        <w:rPr>
          <w:rFonts w:cs="Calibri"/>
          <w:vertAlign w:val="superscript"/>
          <w:lang w:val="en-US"/>
        </w:rPr>
        <w:t>3</w:t>
      </w:r>
    </w:p>
    <w:p w14:paraId="6994CC4B" w14:textId="77777777" w:rsidR="001A2176" w:rsidRDefault="001A2176" w:rsidP="001A2176">
      <w:pPr>
        <w:spacing w:after="0" w:line="240" w:lineRule="auto"/>
        <w:rPr>
          <w:rFonts w:cs="Calibri"/>
        </w:rPr>
      </w:pPr>
      <w:r w:rsidRPr="001A2176">
        <w:rPr>
          <w:rFonts w:cs="Calibri"/>
          <w:b/>
          <w:bCs/>
          <w:sz w:val="28"/>
          <w:szCs w:val="28"/>
          <w:vertAlign w:val="superscript"/>
        </w:rPr>
        <w:t>1</w:t>
      </w:r>
      <w:r w:rsidR="002D46A0" w:rsidRPr="001A2176">
        <w:rPr>
          <w:rFonts w:cs="Calibri"/>
        </w:rPr>
        <w:t>Chaire de Santé Publique, Faculté des Sciences et Technologies de la Santé, Université Gamal Abdel Nasser, Conakry, Guinée.</w:t>
      </w:r>
    </w:p>
    <w:p w14:paraId="63A3C18D" w14:textId="77777777" w:rsidR="001A2176" w:rsidRDefault="001A2176" w:rsidP="001A2176">
      <w:pPr>
        <w:spacing w:after="0" w:line="240" w:lineRule="auto"/>
        <w:rPr>
          <w:rFonts w:cs="Calibri"/>
        </w:rPr>
      </w:pPr>
      <w:r w:rsidRPr="001A2176">
        <w:rPr>
          <w:rFonts w:cs="Calibri"/>
          <w:b/>
          <w:bCs/>
          <w:sz w:val="28"/>
          <w:szCs w:val="28"/>
          <w:vertAlign w:val="superscript"/>
        </w:rPr>
        <w:t>2</w:t>
      </w:r>
      <w:r w:rsidR="002D46A0" w:rsidRPr="001A2176">
        <w:rPr>
          <w:rFonts w:cs="Calibri"/>
        </w:rPr>
        <w:t>Centre Africain d’Excellence pour la Prévention et le Contrôle des Maladies, Université Gamal Abdel Nasser, Conakry, Guinée.</w:t>
      </w:r>
    </w:p>
    <w:p w14:paraId="6185C988" w14:textId="77777777" w:rsidR="001A2176" w:rsidRDefault="001A2176" w:rsidP="001A2176">
      <w:pPr>
        <w:spacing w:after="0" w:line="240" w:lineRule="auto"/>
        <w:rPr>
          <w:rFonts w:cs="Calibri"/>
        </w:rPr>
      </w:pPr>
      <w:r w:rsidRPr="001A2176">
        <w:rPr>
          <w:rFonts w:cs="Calibri"/>
          <w:b/>
          <w:bCs/>
          <w:sz w:val="28"/>
          <w:szCs w:val="28"/>
          <w:vertAlign w:val="superscript"/>
        </w:rPr>
        <w:t>3</w:t>
      </w:r>
      <w:r w:rsidR="002D46A0" w:rsidRPr="001A2176">
        <w:rPr>
          <w:rFonts w:cs="Calibri"/>
        </w:rPr>
        <w:t>Programme Élargi de Vaccination, Ministère de la Santé et de l’Hygiène Publique, Conakry, Guinée.</w:t>
      </w:r>
    </w:p>
    <w:p w14:paraId="5329B3C8" w14:textId="77777777" w:rsidR="001A2176" w:rsidRPr="001A2176" w:rsidRDefault="001A2176" w:rsidP="001A2176">
      <w:pPr>
        <w:spacing w:after="0" w:line="240" w:lineRule="auto"/>
        <w:rPr>
          <w:rFonts w:cs="Calibri"/>
        </w:rPr>
      </w:pPr>
    </w:p>
    <w:p w14:paraId="0EB6B9CE" w14:textId="77777777" w:rsidR="002D46A0" w:rsidRPr="00E12AFB" w:rsidRDefault="002D46A0" w:rsidP="001A2176">
      <w:pPr>
        <w:spacing w:after="0" w:line="240" w:lineRule="auto"/>
        <w:rPr>
          <w:b/>
          <w:bCs/>
        </w:rPr>
      </w:pPr>
      <w:r w:rsidRPr="00E12AFB">
        <w:rPr>
          <w:b/>
          <w:bCs/>
        </w:rPr>
        <w:t>Résumé</w:t>
      </w:r>
    </w:p>
    <w:p w14:paraId="480A76FE" w14:textId="77777777" w:rsidR="001A2176" w:rsidRPr="00C57D57" w:rsidRDefault="001A2176" w:rsidP="001A2176">
      <w:pPr>
        <w:spacing w:after="0" w:line="240" w:lineRule="auto"/>
        <w:jc w:val="both"/>
        <w:rPr>
          <w:sz w:val="12"/>
          <w:szCs w:val="12"/>
        </w:rPr>
      </w:pPr>
    </w:p>
    <w:p w14:paraId="48200AEE" w14:textId="02E5CC18" w:rsidR="00B12C85" w:rsidRDefault="00B12C85" w:rsidP="00B12C85">
      <w:pPr>
        <w:spacing w:after="0" w:line="240" w:lineRule="auto"/>
        <w:jc w:val="both"/>
        <w:rPr>
          <w:rFonts w:cs="Calibri"/>
        </w:rPr>
      </w:pPr>
      <w:r w:rsidRPr="00B12C85">
        <w:rPr>
          <w:rFonts w:cs="Calibri"/>
          <w:b/>
          <w:bCs/>
        </w:rPr>
        <w:t xml:space="preserve">Introduction : </w:t>
      </w:r>
      <w:r w:rsidRPr="00B12C85">
        <w:rPr>
          <w:rFonts w:cs="Calibri"/>
        </w:rPr>
        <w:t>La vaccination est l’une des interventions les plus efficaces en santé publique pour prévenir la morbidité et la mortalité infantiles. En Guinée, malgré les efforts du Programme Élargi de Vaccination (PEV), la couverture vaccinale reste insuffisante, notamment à Conakry où les occasions manquées de vaccination (OMV) constituent un frein majeur. Cette étude visait à identifier les facteurs associés aux OMV chez les enfants de 12 à 23 mois dans la région sanitaire de Conakry en 2024.</w:t>
      </w:r>
    </w:p>
    <w:p w14:paraId="17C93A49" w14:textId="77777777" w:rsidR="00B12C85" w:rsidRPr="00B12C85" w:rsidRDefault="00B12C85" w:rsidP="00B12C85">
      <w:pPr>
        <w:spacing w:after="0" w:line="240" w:lineRule="auto"/>
        <w:jc w:val="both"/>
        <w:rPr>
          <w:rFonts w:cs="Calibri"/>
        </w:rPr>
      </w:pPr>
    </w:p>
    <w:p w14:paraId="105029C0" w14:textId="21F4882C" w:rsidR="00B12C85" w:rsidRDefault="00B12C85" w:rsidP="00B12C85">
      <w:pPr>
        <w:spacing w:after="0" w:line="240" w:lineRule="auto"/>
        <w:jc w:val="both"/>
        <w:rPr>
          <w:rFonts w:cs="Calibri"/>
        </w:rPr>
      </w:pPr>
      <w:r w:rsidRPr="00B12C85">
        <w:rPr>
          <w:rFonts w:cs="Calibri"/>
          <w:b/>
          <w:bCs/>
        </w:rPr>
        <w:t xml:space="preserve">Méthodes : </w:t>
      </w:r>
      <w:r w:rsidRPr="00B12C85">
        <w:rPr>
          <w:rFonts w:cs="Calibri"/>
        </w:rPr>
        <w:t>Une analyse secondaire des données de l’enquête nationale de couverture vaccinale de routine de 2024 a été réalisée. Cette enquête, conduite selon une méthode de sondage en grappes à deux degrés, s’est appuyée sur les normes de l’Organisation mondiale de la santé. Les OMV ont été évaluées selon les critères de l’OMS</w:t>
      </w:r>
      <w:r w:rsidR="007D6421">
        <w:rPr>
          <w:rFonts w:cs="Calibri"/>
        </w:rPr>
        <w:t xml:space="preserve"> pour les enfants</w:t>
      </w:r>
      <w:r w:rsidRPr="00B12C85">
        <w:rPr>
          <w:rFonts w:cs="Calibri"/>
        </w:rPr>
        <w:t>. Les variables ont été résumées par des statistiques descriptives, et les facteurs associés ont été identifiés par régression logistique multivariée à l’aide du logiciel R (v4.4.1).</w:t>
      </w:r>
    </w:p>
    <w:p w14:paraId="790DBAD2" w14:textId="77777777" w:rsidR="00B12C85" w:rsidRPr="00B12C85" w:rsidRDefault="00B12C85" w:rsidP="00B12C85">
      <w:pPr>
        <w:spacing w:after="0" w:line="240" w:lineRule="auto"/>
        <w:jc w:val="both"/>
        <w:rPr>
          <w:rFonts w:cs="Calibri"/>
          <w:b/>
          <w:bCs/>
        </w:rPr>
      </w:pPr>
    </w:p>
    <w:p w14:paraId="6E5E63B1" w14:textId="77777777" w:rsidR="00B12C85" w:rsidRDefault="00B12C85" w:rsidP="00B12C85">
      <w:pPr>
        <w:spacing w:after="0" w:line="240" w:lineRule="auto"/>
        <w:jc w:val="both"/>
        <w:rPr>
          <w:rFonts w:cs="Calibri"/>
        </w:rPr>
      </w:pPr>
      <w:r w:rsidRPr="00B12C85">
        <w:rPr>
          <w:rFonts w:cs="Calibri"/>
          <w:b/>
          <w:bCs/>
        </w:rPr>
        <w:t xml:space="preserve">Résultats : </w:t>
      </w:r>
      <w:r w:rsidRPr="00B12C85">
        <w:rPr>
          <w:rFonts w:cs="Calibri"/>
        </w:rPr>
        <w:t>La prévalence des OMV était de 22,4 %. Deux facteurs étaient significativement associés aux OMV : les antécédents de manifestations allergiques post-vaccination (OR = 4,26 ; IC95% : 1,25–11,72 ; p = 0,019) et l’utilisation d’un moyen de transport motorisé (moto ou véhicule) pour accéder aux services de santé (OR = 5,21 ; IC95% : 1,70–16,00 ; p = 0,006).</w:t>
      </w:r>
    </w:p>
    <w:p w14:paraId="07F1185E" w14:textId="77777777" w:rsidR="00B12C85" w:rsidRPr="00B12C85" w:rsidRDefault="00B12C85" w:rsidP="00B12C85">
      <w:pPr>
        <w:spacing w:after="0" w:line="240" w:lineRule="auto"/>
        <w:jc w:val="both"/>
        <w:rPr>
          <w:rFonts w:cs="Calibri"/>
          <w:b/>
          <w:bCs/>
        </w:rPr>
      </w:pPr>
    </w:p>
    <w:p w14:paraId="36237F4D" w14:textId="77777777" w:rsidR="00B12C85" w:rsidRPr="00B12C85" w:rsidRDefault="00B12C85" w:rsidP="00B12C85">
      <w:pPr>
        <w:spacing w:after="0" w:line="240" w:lineRule="auto"/>
        <w:jc w:val="both"/>
        <w:rPr>
          <w:rFonts w:cs="Calibri"/>
        </w:rPr>
      </w:pPr>
      <w:r w:rsidRPr="00B12C85">
        <w:rPr>
          <w:rFonts w:cs="Calibri"/>
          <w:b/>
          <w:bCs/>
        </w:rPr>
        <w:t xml:space="preserve">Conclusion : </w:t>
      </w:r>
      <w:r w:rsidRPr="00B12C85">
        <w:rPr>
          <w:rFonts w:cs="Calibri"/>
        </w:rPr>
        <w:t>La fréquence élevée des OMV à Conakry souligne l’urgence de renforcer les capacités des agents de santé dans la prise en charge des effets indésirables post-vaccinaux et d’améliorer l’accessibilité physique aux services de vaccination. Des stratégies ciblées et intégrées sont nécessaires pour réduire les OMV et améliorer durablement la couverture vaccinale.</w:t>
      </w:r>
    </w:p>
    <w:p w14:paraId="13CA657E" w14:textId="77777777" w:rsidR="00B12C85" w:rsidRDefault="00B12C85" w:rsidP="00B12C85">
      <w:pPr>
        <w:spacing w:after="0" w:line="240" w:lineRule="auto"/>
        <w:jc w:val="both"/>
        <w:rPr>
          <w:rFonts w:cs="Calibri"/>
          <w:b/>
          <w:bCs/>
        </w:rPr>
      </w:pPr>
    </w:p>
    <w:p w14:paraId="372E364C" w14:textId="644BC42C" w:rsidR="00B12C85" w:rsidRDefault="00B12C85" w:rsidP="00E12AFB">
      <w:pPr>
        <w:spacing w:after="0" w:line="240" w:lineRule="auto"/>
        <w:jc w:val="both"/>
        <w:rPr>
          <w:rFonts w:cs="Calibri"/>
        </w:rPr>
      </w:pPr>
      <w:r w:rsidRPr="00B12C85">
        <w:rPr>
          <w:rFonts w:cs="Calibri"/>
          <w:b/>
          <w:bCs/>
        </w:rPr>
        <w:t xml:space="preserve">Mots-clés : </w:t>
      </w:r>
      <w:r w:rsidRPr="00B12C85">
        <w:rPr>
          <w:rFonts w:cs="Calibri"/>
        </w:rPr>
        <w:t>Vaccination</w:t>
      </w:r>
      <w:r w:rsidR="006456A4">
        <w:rPr>
          <w:rFonts w:cs="Calibri"/>
        </w:rPr>
        <w:t xml:space="preserve">, </w:t>
      </w:r>
      <w:r w:rsidRPr="00B12C85">
        <w:rPr>
          <w:rFonts w:cs="Calibri"/>
        </w:rPr>
        <w:t>Occasions manquées</w:t>
      </w:r>
      <w:r w:rsidR="006456A4">
        <w:rPr>
          <w:rFonts w:cs="Calibri"/>
        </w:rPr>
        <w:t xml:space="preserve">, </w:t>
      </w:r>
      <w:r w:rsidRPr="00B12C85">
        <w:rPr>
          <w:rFonts w:cs="Calibri"/>
        </w:rPr>
        <w:t>Enfants</w:t>
      </w:r>
      <w:r w:rsidR="006456A4">
        <w:rPr>
          <w:rFonts w:cs="Calibri"/>
        </w:rPr>
        <w:t xml:space="preserve">, </w:t>
      </w:r>
      <w:r w:rsidRPr="00B12C85">
        <w:rPr>
          <w:rFonts w:cs="Calibri"/>
        </w:rPr>
        <w:t xml:space="preserve">Couverture </w:t>
      </w:r>
      <w:proofErr w:type="spellStart"/>
      <w:r w:rsidRPr="00B12C85">
        <w:rPr>
          <w:rFonts w:cs="Calibri"/>
        </w:rPr>
        <w:t>vaccinale</w:t>
      </w:r>
      <w:r w:rsidR="006456A4">
        <w:rPr>
          <w:rFonts w:cs="Calibri"/>
        </w:rPr>
        <w:t>,</w:t>
      </w:r>
      <w:r w:rsidRPr="00B12C85">
        <w:rPr>
          <w:rFonts w:cs="Calibri"/>
        </w:rPr>
        <w:t>Guinée</w:t>
      </w:r>
      <w:proofErr w:type="spellEnd"/>
      <w:r>
        <w:rPr>
          <w:rFonts w:cs="Calibri"/>
        </w:rPr>
        <w:t>.</w:t>
      </w:r>
    </w:p>
    <w:p w14:paraId="50B9830D" w14:textId="77777777" w:rsidR="00B12C85" w:rsidRDefault="00B12C85" w:rsidP="00E12AFB">
      <w:pPr>
        <w:spacing w:after="0" w:line="240" w:lineRule="auto"/>
        <w:jc w:val="both"/>
        <w:rPr>
          <w:rFonts w:cs="Calibri"/>
          <w:b/>
          <w:bCs/>
        </w:rPr>
      </w:pPr>
    </w:p>
    <w:sectPr w:rsidR="00B12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30537"/>
    <w:multiLevelType w:val="hybridMultilevel"/>
    <w:tmpl w:val="AF0E1FAE"/>
    <w:lvl w:ilvl="0" w:tplc="D02223BA">
      <w:start w:val="1"/>
      <w:numFmt w:val="decimal"/>
      <w:lvlText w:val="%1."/>
      <w:lvlJc w:val="left"/>
      <w:pPr>
        <w:ind w:left="720" w:hanging="360"/>
      </w:pPr>
      <w:rPr>
        <w:rFonts w:ascii="Calibri" w:eastAsia="Times New Roman" w:hAnsi="Calibri" w:cs="Calibri"/>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AAE46A8"/>
    <w:multiLevelType w:val="hybridMultilevel"/>
    <w:tmpl w:val="9EE2C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2515936">
    <w:abstractNumId w:val="1"/>
  </w:num>
  <w:num w:numId="2" w16cid:durableId="189500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F7"/>
    <w:rsid w:val="00024FBD"/>
    <w:rsid w:val="000C625E"/>
    <w:rsid w:val="00106A20"/>
    <w:rsid w:val="00125252"/>
    <w:rsid w:val="00136DF0"/>
    <w:rsid w:val="001700F7"/>
    <w:rsid w:val="001A2176"/>
    <w:rsid w:val="0021194F"/>
    <w:rsid w:val="00272F6D"/>
    <w:rsid w:val="002A1878"/>
    <w:rsid w:val="002D46A0"/>
    <w:rsid w:val="003172D0"/>
    <w:rsid w:val="00327896"/>
    <w:rsid w:val="003343DE"/>
    <w:rsid w:val="003E56DF"/>
    <w:rsid w:val="00431FA8"/>
    <w:rsid w:val="0046195D"/>
    <w:rsid w:val="00481158"/>
    <w:rsid w:val="004E2831"/>
    <w:rsid w:val="00512558"/>
    <w:rsid w:val="00531127"/>
    <w:rsid w:val="00582154"/>
    <w:rsid w:val="0060555F"/>
    <w:rsid w:val="00630E1A"/>
    <w:rsid w:val="00637B09"/>
    <w:rsid w:val="006456A4"/>
    <w:rsid w:val="00697CBF"/>
    <w:rsid w:val="006C5F89"/>
    <w:rsid w:val="0076539E"/>
    <w:rsid w:val="007C3BED"/>
    <w:rsid w:val="007D6421"/>
    <w:rsid w:val="008F6491"/>
    <w:rsid w:val="00A80571"/>
    <w:rsid w:val="00AE34A4"/>
    <w:rsid w:val="00B12C85"/>
    <w:rsid w:val="00BA026E"/>
    <w:rsid w:val="00BF0EE0"/>
    <w:rsid w:val="00C57D57"/>
    <w:rsid w:val="00C7027F"/>
    <w:rsid w:val="00D26272"/>
    <w:rsid w:val="00DE0896"/>
    <w:rsid w:val="00DE3704"/>
    <w:rsid w:val="00E12AFB"/>
    <w:rsid w:val="00F65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FA8D"/>
  <w15:chartTrackingRefBased/>
  <w15:docId w15:val="{688E713C-BECF-4D84-B531-CDAC36A5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0F7"/>
    <w:pPr>
      <w:spacing w:after="120" w:line="360" w:lineRule="auto"/>
    </w:pPr>
    <w:rPr>
      <w:rFonts w:ascii="Calibri" w:eastAsia="Times New Roman" w:hAnsi="Calibri" w:cs="Times New Roman"/>
      <w:color w:val="000000" w:themeColor="text1"/>
      <w:kern w:val="0"/>
      <w:sz w:val="24"/>
      <w:szCs w:val="24"/>
      <w:lang w:eastAsia="fr-FR"/>
    </w:rPr>
  </w:style>
  <w:style w:type="paragraph" w:styleId="Titre1">
    <w:name w:val="heading 1"/>
    <w:basedOn w:val="Normal"/>
    <w:next w:val="Normal"/>
    <w:link w:val="Titre1Car"/>
    <w:uiPriority w:val="9"/>
    <w:qFormat/>
    <w:rsid w:val="00170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70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00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00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00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00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00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00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00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00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700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00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00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00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00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00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00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00F7"/>
    <w:rPr>
      <w:rFonts w:eastAsiaTheme="majorEastAsia" w:cstheme="majorBidi"/>
      <w:color w:val="272727" w:themeColor="text1" w:themeTint="D8"/>
    </w:rPr>
  </w:style>
  <w:style w:type="paragraph" w:styleId="Titre">
    <w:name w:val="Title"/>
    <w:basedOn w:val="Normal"/>
    <w:next w:val="Normal"/>
    <w:link w:val="TitreCar"/>
    <w:uiPriority w:val="10"/>
    <w:qFormat/>
    <w:rsid w:val="00170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0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00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00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00F7"/>
    <w:pPr>
      <w:spacing w:before="160"/>
      <w:jc w:val="center"/>
    </w:pPr>
    <w:rPr>
      <w:i/>
      <w:iCs/>
      <w:color w:val="404040" w:themeColor="text1" w:themeTint="BF"/>
    </w:rPr>
  </w:style>
  <w:style w:type="character" w:customStyle="1" w:styleId="CitationCar">
    <w:name w:val="Citation Car"/>
    <w:basedOn w:val="Policepardfaut"/>
    <w:link w:val="Citation"/>
    <w:uiPriority w:val="29"/>
    <w:rsid w:val="001700F7"/>
    <w:rPr>
      <w:i/>
      <w:iCs/>
      <w:color w:val="404040" w:themeColor="text1" w:themeTint="BF"/>
    </w:rPr>
  </w:style>
  <w:style w:type="paragraph" w:styleId="Paragraphedeliste">
    <w:name w:val="List Paragraph"/>
    <w:basedOn w:val="Normal"/>
    <w:uiPriority w:val="34"/>
    <w:qFormat/>
    <w:rsid w:val="001700F7"/>
    <w:pPr>
      <w:ind w:left="720"/>
      <w:contextualSpacing/>
    </w:pPr>
  </w:style>
  <w:style w:type="character" w:styleId="Accentuationintense">
    <w:name w:val="Intense Emphasis"/>
    <w:basedOn w:val="Policepardfaut"/>
    <w:uiPriority w:val="21"/>
    <w:qFormat/>
    <w:rsid w:val="001700F7"/>
    <w:rPr>
      <w:i/>
      <w:iCs/>
      <w:color w:val="0F4761" w:themeColor="accent1" w:themeShade="BF"/>
    </w:rPr>
  </w:style>
  <w:style w:type="paragraph" w:styleId="Citationintense">
    <w:name w:val="Intense Quote"/>
    <w:basedOn w:val="Normal"/>
    <w:next w:val="Normal"/>
    <w:link w:val="CitationintenseCar"/>
    <w:uiPriority w:val="30"/>
    <w:qFormat/>
    <w:rsid w:val="00170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00F7"/>
    <w:rPr>
      <w:i/>
      <w:iCs/>
      <w:color w:val="0F4761" w:themeColor="accent1" w:themeShade="BF"/>
    </w:rPr>
  </w:style>
  <w:style w:type="character" w:styleId="Rfrenceintense">
    <w:name w:val="Intense Reference"/>
    <w:basedOn w:val="Policepardfaut"/>
    <w:uiPriority w:val="32"/>
    <w:qFormat/>
    <w:rsid w:val="001700F7"/>
    <w:rPr>
      <w:b/>
      <w:bCs/>
      <w:smallCaps/>
      <w:color w:val="0F4761" w:themeColor="accent1" w:themeShade="BF"/>
      <w:spacing w:val="5"/>
    </w:rPr>
  </w:style>
  <w:style w:type="character" w:styleId="Lienhypertexte">
    <w:name w:val="Hyperlink"/>
    <w:basedOn w:val="Policepardfaut"/>
    <w:uiPriority w:val="99"/>
    <w:unhideWhenUsed/>
    <w:rsid w:val="001700F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997">
      <w:bodyDiv w:val="1"/>
      <w:marLeft w:val="0"/>
      <w:marRight w:val="0"/>
      <w:marTop w:val="0"/>
      <w:marBottom w:val="0"/>
      <w:divBdr>
        <w:top w:val="none" w:sz="0" w:space="0" w:color="auto"/>
        <w:left w:val="none" w:sz="0" w:space="0" w:color="auto"/>
        <w:bottom w:val="none" w:sz="0" w:space="0" w:color="auto"/>
        <w:right w:val="none" w:sz="0" w:space="0" w:color="auto"/>
      </w:divBdr>
    </w:div>
    <w:div w:id="465701111">
      <w:bodyDiv w:val="1"/>
      <w:marLeft w:val="0"/>
      <w:marRight w:val="0"/>
      <w:marTop w:val="0"/>
      <w:marBottom w:val="0"/>
      <w:divBdr>
        <w:top w:val="none" w:sz="0" w:space="0" w:color="auto"/>
        <w:left w:val="none" w:sz="0" w:space="0" w:color="auto"/>
        <w:bottom w:val="none" w:sz="0" w:space="0" w:color="auto"/>
        <w:right w:val="none" w:sz="0" w:space="0" w:color="auto"/>
      </w:divBdr>
    </w:div>
    <w:div w:id="525993647">
      <w:bodyDiv w:val="1"/>
      <w:marLeft w:val="0"/>
      <w:marRight w:val="0"/>
      <w:marTop w:val="0"/>
      <w:marBottom w:val="0"/>
      <w:divBdr>
        <w:top w:val="none" w:sz="0" w:space="0" w:color="auto"/>
        <w:left w:val="none" w:sz="0" w:space="0" w:color="auto"/>
        <w:bottom w:val="none" w:sz="0" w:space="0" w:color="auto"/>
        <w:right w:val="none" w:sz="0" w:space="0" w:color="auto"/>
      </w:divBdr>
    </w:div>
    <w:div w:id="826362806">
      <w:bodyDiv w:val="1"/>
      <w:marLeft w:val="0"/>
      <w:marRight w:val="0"/>
      <w:marTop w:val="0"/>
      <w:marBottom w:val="0"/>
      <w:divBdr>
        <w:top w:val="none" w:sz="0" w:space="0" w:color="auto"/>
        <w:left w:val="none" w:sz="0" w:space="0" w:color="auto"/>
        <w:bottom w:val="none" w:sz="0" w:space="0" w:color="auto"/>
        <w:right w:val="none" w:sz="0" w:space="0" w:color="auto"/>
      </w:divBdr>
    </w:div>
    <w:div w:id="904872902">
      <w:bodyDiv w:val="1"/>
      <w:marLeft w:val="0"/>
      <w:marRight w:val="0"/>
      <w:marTop w:val="0"/>
      <w:marBottom w:val="0"/>
      <w:divBdr>
        <w:top w:val="none" w:sz="0" w:space="0" w:color="auto"/>
        <w:left w:val="none" w:sz="0" w:space="0" w:color="auto"/>
        <w:bottom w:val="none" w:sz="0" w:space="0" w:color="auto"/>
        <w:right w:val="none" w:sz="0" w:space="0" w:color="auto"/>
      </w:divBdr>
    </w:div>
    <w:div w:id="179216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380</Words>
  <Characters>2095</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Niouma Nestor LENO</dc:creator>
  <cp:keywords/>
  <dc:description/>
  <cp:lastModifiedBy>Niouma Nestor LENO</cp:lastModifiedBy>
  <cp:revision>22</cp:revision>
  <dcterms:created xsi:type="dcterms:W3CDTF">2025-06-29T15:18:00Z</dcterms:created>
  <dcterms:modified xsi:type="dcterms:W3CDTF">2025-06-29T17:07:00Z</dcterms:modified>
</cp:coreProperties>
</file>