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ED41" w14:textId="1B4858EB" w:rsidR="00C769A1" w:rsidRPr="005C06C1" w:rsidRDefault="00C769A1" w:rsidP="00C769A1">
      <w:pPr>
        <w:spacing w:line="480" w:lineRule="auto"/>
        <w:jc w:val="center"/>
        <w:rPr>
          <w:b/>
          <w:bCs/>
          <w:sz w:val="20"/>
          <w:szCs w:val="20"/>
          <w:lang w:val="fr-FR"/>
        </w:rPr>
      </w:pPr>
      <w:r w:rsidRPr="005C06C1">
        <w:rPr>
          <w:b/>
          <w:bCs/>
          <w:sz w:val="20"/>
          <w:szCs w:val="20"/>
          <w:lang w:val="fr-FR"/>
        </w:rPr>
        <w:t xml:space="preserve">Évaluation de l'inégalité </w:t>
      </w:r>
      <w:r w:rsidR="004A4881">
        <w:rPr>
          <w:b/>
          <w:bCs/>
          <w:sz w:val="20"/>
          <w:szCs w:val="20"/>
          <w:lang w:val="fr-FR"/>
        </w:rPr>
        <w:t xml:space="preserve">entre milieu urbain et rural </w:t>
      </w:r>
      <w:r w:rsidR="005C06C1">
        <w:rPr>
          <w:b/>
          <w:bCs/>
          <w:sz w:val="20"/>
          <w:szCs w:val="20"/>
          <w:lang w:val="fr-FR"/>
        </w:rPr>
        <w:t>dans la p</w:t>
      </w:r>
      <w:r w:rsidRPr="005C06C1">
        <w:rPr>
          <w:b/>
          <w:bCs/>
          <w:sz w:val="20"/>
          <w:szCs w:val="20"/>
          <w:lang w:val="fr-FR"/>
        </w:rPr>
        <w:t xml:space="preserve">réparation </w:t>
      </w:r>
      <w:r w:rsidR="005C06C1">
        <w:rPr>
          <w:b/>
          <w:bCs/>
          <w:sz w:val="20"/>
          <w:szCs w:val="20"/>
          <w:lang w:val="fr-FR"/>
        </w:rPr>
        <w:t xml:space="preserve">du système de soins </w:t>
      </w:r>
      <w:r w:rsidRPr="005C06C1">
        <w:rPr>
          <w:b/>
          <w:bCs/>
          <w:sz w:val="20"/>
          <w:szCs w:val="20"/>
          <w:lang w:val="fr-FR"/>
        </w:rPr>
        <w:t xml:space="preserve">à fournir des soins post-partum aux mères et aux nouveau-nés au Burkina Faso </w:t>
      </w:r>
    </w:p>
    <w:p w14:paraId="0381C5EB" w14:textId="77777777" w:rsidR="00C769A1" w:rsidRPr="005C06C1" w:rsidRDefault="00C769A1" w:rsidP="00C769A1">
      <w:pPr>
        <w:spacing w:before="240" w:after="240" w:line="480" w:lineRule="auto"/>
        <w:rPr>
          <w:i/>
          <w:iCs/>
          <w:color w:val="000000"/>
          <w:spacing w:val="-2"/>
          <w:kern w:val="36"/>
          <w:sz w:val="20"/>
          <w:szCs w:val="20"/>
          <w:lang w:val="fr-FR"/>
        </w:rPr>
      </w:pP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Kadari CISSE</w:t>
      </w: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1</w:t>
      </w: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*, Danielle BELEMSAGA/YUGBARE</w:t>
      </w: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1</w:t>
      </w: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*, Siaka LOUGUE</w:t>
      </w: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1</w:t>
      </w: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, Adama BAGUIYA</w:t>
      </w: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1</w:t>
      </w: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, Aristide BADO</w:t>
      </w: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1</w:t>
      </w: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, Soumaila TRAORE</w:t>
      </w: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2</w:t>
      </w: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, Henri Gautier OUEDRAOGO</w:t>
      </w: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1</w:t>
      </w: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 xml:space="preserve"> et </w:t>
      </w:r>
      <w:proofErr w:type="spellStart"/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Seni</w:t>
      </w:r>
      <w:proofErr w:type="spellEnd"/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 xml:space="preserve"> KOUANDA</w:t>
      </w: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1,3</w:t>
      </w:r>
    </w:p>
    <w:p w14:paraId="249280CB" w14:textId="77777777" w:rsidR="00C769A1" w:rsidRPr="005C06C1" w:rsidRDefault="00C769A1" w:rsidP="00C769A1">
      <w:pPr>
        <w:spacing w:line="480" w:lineRule="auto"/>
        <w:jc w:val="both"/>
        <w:rPr>
          <w:i/>
          <w:iCs/>
          <w:color w:val="000000"/>
          <w:spacing w:val="-2"/>
          <w:kern w:val="36"/>
          <w:sz w:val="20"/>
          <w:szCs w:val="20"/>
          <w:lang w:val="fr-FR"/>
        </w:rPr>
      </w:pP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1</w:t>
      </w: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Institut de Recherche en Sciences de la Santé (IRSS), Centre National de Recherche Scientifique de Technologique (CNRST), Ouagadougou, Burkina Faso ;</w:t>
      </w:r>
    </w:p>
    <w:p w14:paraId="2363BCF8" w14:textId="77777777" w:rsidR="00C769A1" w:rsidRPr="005C06C1" w:rsidRDefault="00C769A1" w:rsidP="00C769A1">
      <w:pPr>
        <w:spacing w:line="480" w:lineRule="auto"/>
        <w:jc w:val="both"/>
        <w:rPr>
          <w:i/>
          <w:iCs/>
          <w:color w:val="000000"/>
          <w:spacing w:val="-2"/>
          <w:kern w:val="36"/>
          <w:sz w:val="20"/>
          <w:szCs w:val="20"/>
          <w:lang w:val="fr-FR"/>
        </w:rPr>
      </w:pP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2</w:t>
      </w: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Ministère de la santé, Ouagadougou (Burkina Faso) ;</w:t>
      </w:r>
    </w:p>
    <w:p w14:paraId="44554C09" w14:textId="77777777" w:rsidR="00C769A1" w:rsidRPr="005C06C1" w:rsidRDefault="00C769A1" w:rsidP="00C769A1">
      <w:pPr>
        <w:spacing w:line="480" w:lineRule="auto"/>
        <w:jc w:val="both"/>
        <w:rPr>
          <w:i/>
          <w:iCs/>
          <w:color w:val="000000"/>
          <w:spacing w:val="-2"/>
          <w:kern w:val="36"/>
          <w:sz w:val="20"/>
          <w:szCs w:val="20"/>
          <w:lang w:val="fr-FR"/>
        </w:rPr>
      </w:pPr>
      <w:r w:rsidRPr="005C06C1">
        <w:rPr>
          <w:i/>
          <w:iCs/>
          <w:color w:val="000000"/>
          <w:spacing w:val="-2"/>
          <w:kern w:val="36"/>
          <w:sz w:val="20"/>
          <w:szCs w:val="20"/>
          <w:vertAlign w:val="superscript"/>
          <w:lang w:val="fr-FR"/>
        </w:rPr>
        <w:t>3</w:t>
      </w:r>
      <w:r w:rsidRPr="005C06C1">
        <w:rPr>
          <w:i/>
          <w:iCs/>
          <w:color w:val="000000"/>
          <w:spacing w:val="-2"/>
          <w:kern w:val="36"/>
          <w:sz w:val="20"/>
          <w:szCs w:val="20"/>
          <w:lang w:val="fr-FR"/>
        </w:rPr>
        <w:t>Institut Africain de Santé Publique, Ouagadougou, Burkina Faso</w:t>
      </w:r>
    </w:p>
    <w:p w14:paraId="1752DC39" w14:textId="77777777" w:rsidR="00C769A1" w:rsidRPr="008742C0" w:rsidRDefault="00C769A1" w:rsidP="00C769A1">
      <w:pPr>
        <w:spacing w:line="480" w:lineRule="auto"/>
        <w:jc w:val="both"/>
        <w:rPr>
          <w:i/>
          <w:iCs/>
          <w:color w:val="000000"/>
          <w:spacing w:val="-2"/>
          <w:kern w:val="36"/>
          <w:sz w:val="20"/>
          <w:szCs w:val="20"/>
          <w:lang w:val="fr-FR"/>
        </w:rPr>
      </w:pPr>
    </w:p>
    <w:p w14:paraId="3CC738BA" w14:textId="77777777" w:rsidR="00C769A1" w:rsidRPr="005C06C1" w:rsidRDefault="00C769A1" w:rsidP="00C769A1">
      <w:pPr>
        <w:spacing w:line="480" w:lineRule="auto"/>
        <w:rPr>
          <w:b/>
          <w:bCs/>
          <w:color w:val="000000"/>
          <w:spacing w:val="-2"/>
          <w:kern w:val="36"/>
          <w:sz w:val="20"/>
          <w:szCs w:val="20"/>
          <w:lang w:val="fr-FR"/>
        </w:rPr>
      </w:pPr>
      <w:r w:rsidRPr="005C06C1">
        <w:rPr>
          <w:b/>
          <w:bCs/>
          <w:color w:val="000000"/>
          <w:spacing w:val="-2"/>
          <w:kern w:val="36"/>
          <w:sz w:val="20"/>
          <w:szCs w:val="20"/>
          <w:lang w:val="fr-FR"/>
        </w:rPr>
        <w:t>Auteur correspondant :</w:t>
      </w:r>
    </w:p>
    <w:p w14:paraId="41D7FAA2" w14:textId="77777777" w:rsidR="00C769A1" w:rsidRPr="005C06C1" w:rsidRDefault="00C769A1" w:rsidP="00C769A1">
      <w:pPr>
        <w:spacing w:line="480" w:lineRule="auto"/>
        <w:rPr>
          <w:color w:val="000000"/>
          <w:spacing w:val="-2"/>
          <w:kern w:val="36"/>
          <w:sz w:val="20"/>
          <w:szCs w:val="20"/>
          <w:lang w:val="fr-FR"/>
        </w:rPr>
      </w:pPr>
      <w:r w:rsidRPr="005C06C1">
        <w:rPr>
          <w:color w:val="000000"/>
          <w:spacing w:val="-2"/>
          <w:kern w:val="36"/>
          <w:sz w:val="20"/>
          <w:szCs w:val="20"/>
          <w:lang w:val="fr-FR"/>
        </w:rPr>
        <w:t xml:space="preserve"> Dr. Kadari CISSE,</w:t>
      </w:r>
    </w:p>
    <w:p w14:paraId="15B6E222" w14:textId="77777777" w:rsidR="00C769A1" w:rsidRPr="008742C0" w:rsidRDefault="00C769A1" w:rsidP="00C769A1">
      <w:pPr>
        <w:spacing w:line="480" w:lineRule="auto"/>
        <w:rPr>
          <w:color w:val="000000"/>
          <w:spacing w:val="-2"/>
          <w:kern w:val="36"/>
          <w:sz w:val="20"/>
          <w:szCs w:val="20"/>
          <w:lang w:val="fr-FR"/>
        </w:rPr>
      </w:pPr>
      <w:r w:rsidRPr="005C06C1">
        <w:rPr>
          <w:color w:val="000000"/>
          <w:spacing w:val="-2"/>
          <w:kern w:val="36"/>
          <w:sz w:val="20"/>
          <w:szCs w:val="20"/>
          <w:lang w:val="fr-FR"/>
        </w:rPr>
        <w:t>Institut de Recherche en Sciences de la Santé (IRSS, 03 BP 7047 Ouagadougou 03.</w:t>
      </w:r>
    </w:p>
    <w:p w14:paraId="240DFE8E" w14:textId="77777777" w:rsidR="00C769A1" w:rsidRPr="005C06C1" w:rsidRDefault="00C769A1" w:rsidP="00C769A1">
      <w:pPr>
        <w:spacing w:line="480" w:lineRule="auto"/>
        <w:rPr>
          <w:color w:val="000000"/>
          <w:spacing w:val="-2"/>
          <w:kern w:val="36"/>
          <w:sz w:val="20"/>
          <w:szCs w:val="20"/>
          <w:lang w:val="fr-FR"/>
        </w:rPr>
      </w:pPr>
      <w:r w:rsidRPr="005C06C1">
        <w:rPr>
          <w:color w:val="000000"/>
          <w:spacing w:val="-2"/>
          <w:kern w:val="36"/>
          <w:sz w:val="20"/>
          <w:szCs w:val="20"/>
          <w:lang w:val="fr-FR"/>
        </w:rPr>
        <w:t xml:space="preserve">Tél. : +226 76425486 ; e-mail : </w:t>
      </w:r>
      <w:hyperlink r:id="rId4" w:history="1">
        <w:r w:rsidRPr="005C06C1">
          <w:rPr>
            <w:rStyle w:val="Lienhypertexte"/>
            <w:rFonts w:eastAsiaTheme="majorEastAsia"/>
            <w:spacing w:val="-2"/>
            <w:kern w:val="36"/>
            <w:sz w:val="20"/>
            <w:szCs w:val="20"/>
            <w:lang w:val="fr-FR"/>
          </w:rPr>
          <w:t>cisskad4@gmail.com</w:t>
        </w:r>
      </w:hyperlink>
    </w:p>
    <w:p w14:paraId="47EB5D03" w14:textId="77777777" w:rsidR="00C769A1" w:rsidRPr="005C06C1" w:rsidRDefault="00C769A1" w:rsidP="00C769A1">
      <w:pPr>
        <w:spacing w:before="240" w:after="240" w:line="480" w:lineRule="auto"/>
        <w:rPr>
          <w:i/>
          <w:iCs/>
          <w:color w:val="000000"/>
          <w:spacing w:val="-2"/>
          <w:kern w:val="36"/>
          <w:sz w:val="20"/>
          <w:szCs w:val="20"/>
          <w:lang w:val="fr-FR"/>
        </w:rPr>
      </w:pPr>
    </w:p>
    <w:p w14:paraId="7BCE6CEB" w14:textId="2B50CBDB" w:rsidR="00C769A1" w:rsidRPr="00DC7209" w:rsidRDefault="005C06C1" w:rsidP="00C769A1">
      <w:pPr>
        <w:pStyle w:val="Titre1"/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Résumé</w:t>
      </w:r>
    </w:p>
    <w:p w14:paraId="39355C6C" w14:textId="1D25DECB" w:rsidR="00C769A1" w:rsidRPr="005C06C1" w:rsidRDefault="008D7B5E" w:rsidP="00C769A1">
      <w:pPr>
        <w:spacing w:before="120" w:after="120" w:line="480" w:lineRule="auto"/>
        <w:jc w:val="both"/>
        <w:rPr>
          <w:bCs/>
          <w:kern w:val="36"/>
          <w:sz w:val="20"/>
          <w:szCs w:val="20"/>
          <w:lang w:val="fr-FR"/>
        </w:rPr>
      </w:pPr>
      <w:r>
        <w:rPr>
          <w:b/>
          <w:kern w:val="36"/>
          <w:sz w:val="20"/>
          <w:szCs w:val="20"/>
          <w:lang w:val="fr-FR"/>
        </w:rPr>
        <w:t>Introduction</w:t>
      </w:r>
      <w:r w:rsidR="00C769A1" w:rsidRPr="005C06C1">
        <w:rPr>
          <w:b/>
          <w:kern w:val="36"/>
          <w:sz w:val="20"/>
          <w:szCs w:val="20"/>
          <w:lang w:val="fr-FR"/>
        </w:rPr>
        <w:t xml:space="preserve"> :</w:t>
      </w:r>
      <w:r w:rsidR="00C769A1" w:rsidRPr="005C06C1">
        <w:rPr>
          <w:bCs/>
          <w:kern w:val="36"/>
          <w:sz w:val="20"/>
          <w:szCs w:val="20"/>
          <w:lang w:val="fr-FR"/>
        </w:rPr>
        <w:t xml:space="preserve"> Les soins post-partum sont l'un des éléments les plus négligés des soins de santé. Notre étude visait à évaluer les inégalités urbaines-rurales dans la préparation du système de santé à fournir des soins post-partum aux mères et aux nouveau-nés au Burkina Faso.</w:t>
      </w:r>
    </w:p>
    <w:p w14:paraId="4F27682F" w14:textId="4DE26B7B" w:rsidR="00C769A1" w:rsidRPr="005C06C1" w:rsidRDefault="00C769A1" w:rsidP="00C769A1">
      <w:pPr>
        <w:spacing w:before="120" w:after="120" w:line="480" w:lineRule="auto"/>
        <w:jc w:val="both"/>
        <w:rPr>
          <w:bCs/>
          <w:kern w:val="36"/>
          <w:sz w:val="20"/>
          <w:szCs w:val="20"/>
          <w:lang w:val="fr-FR"/>
        </w:rPr>
      </w:pPr>
      <w:r w:rsidRPr="005C06C1">
        <w:rPr>
          <w:b/>
          <w:kern w:val="36"/>
          <w:sz w:val="20"/>
          <w:szCs w:val="20"/>
          <w:lang w:val="fr-FR"/>
        </w:rPr>
        <w:t>Méthodes :</w:t>
      </w:r>
      <w:r w:rsidRPr="005C06C1">
        <w:rPr>
          <w:bCs/>
          <w:kern w:val="36"/>
          <w:sz w:val="20"/>
          <w:szCs w:val="20"/>
          <w:lang w:val="fr-FR"/>
        </w:rPr>
        <w:t xml:space="preserve"> Nous avons analysé les données de l'enquête </w:t>
      </w:r>
      <w:r w:rsidR="005C06C1">
        <w:rPr>
          <w:bCs/>
          <w:kern w:val="36"/>
          <w:sz w:val="20"/>
          <w:szCs w:val="20"/>
          <w:lang w:val="fr-FR"/>
        </w:rPr>
        <w:t>sur l’é</w:t>
      </w:r>
      <w:r w:rsidRPr="005C06C1">
        <w:rPr>
          <w:bCs/>
          <w:kern w:val="36"/>
          <w:sz w:val="20"/>
          <w:szCs w:val="20"/>
          <w:lang w:val="fr-FR"/>
        </w:rPr>
        <w:t>valuation harmonisée des établissements de santé (</w:t>
      </w:r>
      <w:r w:rsidR="005C06C1">
        <w:rPr>
          <w:bCs/>
          <w:kern w:val="36"/>
          <w:sz w:val="20"/>
          <w:szCs w:val="20"/>
          <w:lang w:val="fr-FR"/>
        </w:rPr>
        <w:t>HHFA</w:t>
      </w:r>
      <w:r w:rsidRPr="005C06C1">
        <w:rPr>
          <w:bCs/>
          <w:kern w:val="36"/>
          <w:sz w:val="20"/>
          <w:szCs w:val="20"/>
          <w:lang w:val="fr-FR"/>
        </w:rPr>
        <w:t xml:space="preserve">) menée </w:t>
      </w:r>
      <w:r w:rsidR="0061559F">
        <w:rPr>
          <w:bCs/>
          <w:kern w:val="36"/>
          <w:sz w:val="20"/>
          <w:szCs w:val="20"/>
          <w:lang w:val="fr-FR"/>
        </w:rPr>
        <w:t>2020</w:t>
      </w:r>
      <w:r w:rsidRPr="005C06C1">
        <w:rPr>
          <w:bCs/>
          <w:kern w:val="36"/>
          <w:sz w:val="20"/>
          <w:szCs w:val="20"/>
          <w:lang w:val="fr-FR"/>
        </w:rPr>
        <w:t xml:space="preserve"> au Burkina Faso. Les indicateurs ont été </w:t>
      </w:r>
      <w:r w:rsidR="005C06C1">
        <w:rPr>
          <w:bCs/>
          <w:kern w:val="36"/>
          <w:sz w:val="20"/>
          <w:szCs w:val="20"/>
          <w:lang w:val="fr-FR"/>
        </w:rPr>
        <w:t>calculé</w:t>
      </w:r>
      <w:r w:rsidRPr="005C06C1">
        <w:rPr>
          <w:bCs/>
          <w:kern w:val="36"/>
          <w:sz w:val="20"/>
          <w:szCs w:val="20"/>
          <w:lang w:val="fr-FR"/>
        </w:rPr>
        <w:t xml:space="preserve"> conformément aux lignes directrices de l'OMS. L'indice de Gini a été utilisé pour évaluer les inégalités entre les zones urbaines et rurales.</w:t>
      </w:r>
    </w:p>
    <w:p w14:paraId="35D4C1D2" w14:textId="6662476D" w:rsidR="00C769A1" w:rsidRPr="005C06C1" w:rsidRDefault="00C769A1" w:rsidP="00C769A1">
      <w:pPr>
        <w:spacing w:before="120" w:after="120" w:line="480" w:lineRule="auto"/>
        <w:jc w:val="both"/>
        <w:rPr>
          <w:color w:val="000000"/>
          <w:kern w:val="2"/>
          <w:sz w:val="20"/>
          <w:szCs w:val="20"/>
          <w:lang w:val="fr-FR"/>
        </w:rPr>
      </w:pPr>
      <w:bookmarkStart w:id="0" w:name="_Hlk187167906"/>
      <w:r w:rsidRPr="005C06C1">
        <w:rPr>
          <w:b/>
          <w:bCs/>
          <w:sz w:val="20"/>
          <w:szCs w:val="20"/>
          <w:lang w:val="fr-FR"/>
        </w:rPr>
        <w:t xml:space="preserve">Résultats : </w:t>
      </w:r>
      <w:r w:rsidRPr="005C06C1">
        <w:rPr>
          <w:sz w:val="20"/>
          <w:szCs w:val="20"/>
          <w:lang w:val="fr-FR"/>
        </w:rPr>
        <w:t xml:space="preserve">Sur </w:t>
      </w:r>
      <w:r w:rsidRPr="005C06C1">
        <w:rPr>
          <w:rFonts w:eastAsiaTheme="minorHAnsi"/>
          <w:kern w:val="2"/>
          <w:sz w:val="20"/>
          <w:szCs w:val="20"/>
          <w:lang w:val="fr-FR"/>
        </w:rPr>
        <w:t>2115</w:t>
      </w:r>
      <w:r w:rsidR="005C06C1">
        <w:rPr>
          <w:rFonts w:eastAsiaTheme="minorHAnsi"/>
          <w:kern w:val="2"/>
          <w:sz w:val="20"/>
          <w:szCs w:val="20"/>
          <w:lang w:val="fr-FR"/>
        </w:rPr>
        <w:t xml:space="preserve"> établissements de santé</w:t>
      </w:r>
      <w:r w:rsidR="005C06C1" w:rsidRPr="005C06C1">
        <w:rPr>
          <w:rFonts w:eastAsiaTheme="minorHAnsi"/>
          <w:kern w:val="2"/>
          <w:sz w:val="20"/>
          <w:szCs w:val="20"/>
          <w:lang w:val="fr-FR"/>
        </w:rPr>
        <w:t>,</w:t>
      </w:r>
      <w:r w:rsidRPr="005C06C1">
        <w:rPr>
          <w:rFonts w:eastAsiaTheme="minorHAnsi"/>
          <w:kern w:val="2"/>
          <w:sz w:val="20"/>
          <w:szCs w:val="20"/>
          <w:lang w:val="fr-FR"/>
        </w:rPr>
        <w:t xml:space="preserve"> 387 se trouvaient en zone urbaine (18,3 %).</w:t>
      </w:r>
      <w:r w:rsidRPr="005C06C1">
        <w:rPr>
          <w:sz w:val="20"/>
          <w:szCs w:val="20"/>
          <w:lang w:val="fr-FR"/>
        </w:rPr>
        <w:t xml:space="preserve"> </w:t>
      </w:r>
      <w:r w:rsidR="0061559F">
        <w:rPr>
          <w:sz w:val="20"/>
          <w:szCs w:val="20"/>
          <w:lang w:val="fr-FR"/>
        </w:rPr>
        <w:t>L</w:t>
      </w:r>
      <w:r w:rsidRPr="005C06C1">
        <w:rPr>
          <w:sz w:val="20"/>
          <w:szCs w:val="20"/>
          <w:lang w:val="fr-FR"/>
        </w:rPr>
        <w:t xml:space="preserve">es services post-partum étaient disponibles dans 58,4 % des établissements </w:t>
      </w:r>
      <w:r w:rsidR="005C06C1" w:rsidRPr="005C06C1">
        <w:rPr>
          <w:sz w:val="20"/>
          <w:szCs w:val="20"/>
          <w:lang w:val="fr-FR"/>
        </w:rPr>
        <w:t>en</w:t>
      </w:r>
      <w:r w:rsidRPr="005C06C1">
        <w:rPr>
          <w:sz w:val="20"/>
          <w:szCs w:val="20"/>
          <w:lang w:val="fr-FR"/>
        </w:rPr>
        <w:t xml:space="preserve"> milieu urbain, contre 83,9 % en milieu rural </w:t>
      </w:r>
      <w:r w:rsidRPr="005C06C1">
        <w:rPr>
          <w:rFonts w:eastAsiaTheme="minorHAnsi"/>
          <w:kern w:val="2"/>
          <w:sz w:val="20"/>
          <w:szCs w:val="20"/>
          <w:lang w:val="fr-FR"/>
        </w:rPr>
        <w:t>(p&lt;0,001).</w:t>
      </w:r>
      <w:r w:rsidRPr="005C06C1">
        <w:rPr>
          <w:sz w:val="20"/>
          <w:szCs w:val="20"/>
          <w:lang w:val="fr-FR"/>
        </w:rPr>
        <w:t xml:space="preserve"> Le score global de préparation était de 52,1 % dans les zones urbaines contre </w:t>
      </w:r>
      <w:r w:rsidRPr="005C06C1">
        <w:rPr>
          <w:bCs/>
          <w:kern w:val="36"/>
          <w:sz w:val="20"/>
          <w:szCs w:val="20"/>
          <w:lang w:val="fr-FR"/>
        </w:rPr>
        <w:t xml:space="preserve">59,8 % dans les zones rurales </w:t>
      </w:r>
      <w:proofErr w:type="gramStart"/>
      <w:r w:rsidR="0061559F">
        <w:rPr>
          <w:bCs/>
          <w:kern w:val="36"/>
          <w:sz w:val="20"/>
          <w:szCs w:val="20"/>
          <w:lang w:val="fr-FR"/>
        </w:rPr>
        <w:t>(</w:t>
      </w:r>
      <w:r w:rsidRPr="005C06C1">
        <w:rPr>
          <w:bCs/>
          <w:kern w:val="36"/>
          <w:sz w:val="20"/>
          <w:szCs w:val="20"/>
          <w:lang w:val="fr-FR"/>
        </w:rPr>
        <w:t xml:space="preserve"> p</w:t>
      </w:r>
      <w:proofErr w:type="gramEnd"/>
      <w:r w:rsidRPr="005C06C1">
        <w:rPr>
          <w:bCs/>
          <w:kern w:val="36"/>
          <w:sz w:val="20"/>
          <w:szCs w:val="20"/>
          <w:lang w:val="fr-FR"/>
        </w:rPr>
        <w:t xml:space="preserve">&lt;0,001). Les </w:t>
      </w:r>
      <w:r w:rsidRPr="005C06C1">
        <w:rPr>
          <w:color w:val="000000"/>
          <w:sz w:val="20"/>
          <w:szCs w:val="20"/>
          <w:lang w:val="fr-FR"/>
        </w:rPr>
        <w:t xml:space="preserve">différences sont principalement liées au domaine du personnel et des lignes directrices (36,3 % et 42,3 %, </w:t>
      </w:r>
      <w:r w:rsidRPr="005C06C1">
        <w:rPr>
          <w:bCs/>
          <w:kern w:val="36"/>
          <w:sz w:val="20"/>
          <w:szCs w:val="20"/>
          <w:lang w:val="fr-FR"/>
        </w:rPr>
        <w:t>p&lt;0.001) et au domaine des médicaments et des produits (55,2 % et 70,6 %, p&lt;0.001). L'</w:t>
      </w:r>
      <w:r w:rsidRPr="005C06C1">
        <w:rPr>
          <w:sz w:val="20"/>
          <w:szCs w:val="20"/>
          <w:lang w:val="fr-FR"/>
        </w:rPr>
        <w:t xml:space="preserve">indice de Gini entre les groupes était </w:t>
      </w:r>
      <w:r w:rsidRPr="005C06C1">
        <w:rPr>
          <w:color w:val="000000"/>
          <w:sz w:val="20"/>
          <w:szCs w:val="20"/>
          <w:lang w:val="fr-FR"/>
        </w:rPr>
        <w:t>de 16,7 (IC à 95 % : [16,1-17,2]),</w:t>
      </w:r>
      <w:r w:rsidRPr="005C06C1">
        <w:rPr>
          <w:sz w:val="20"/>
          <w:szCs w:val="20"/>
          <w:lang w:val="fr-FR"/>
        </w:rPr>
        <w:t xml:space="preserve"> avec </w:t>
      </w:r>
      <w:proofErr w:type="gramStart"/>
      <w:r w:rsidRPr="005C06C1">
        <w:rPr>
          <w:sz w:val="20"/>
          <w:szCs w:val="20"/>
          <w:lang w:val="fr-FR"/>
        </w:rPr>
        <w:t>un</w:t>
      </w:r>
      <w:r w:rsidR="0061559F">
        <w:rPr>
          <w:sz w:val="20"/>
          <w:szCs w:val="20"/>
          <w:lang w:val="fr-FR"/>
        </w:rPr>
        <w:t xml:space="preserve">e </w:t>
      </w:r>
      <w:r w:rsidRPr="005C06C1">
        <w:rPr>
          <w:sz w:val="20"/>
          <w:szCs w:val="20"/>
          <w:lang w:val="fr-FR"/>
        </w:rPr>
        <w:t>inégalité plus élevé</w:t>
      </w:r>
      <w:proofErr w:type="gramEnd"/>
      <w:r w:rsidRPr="005C06C1">
        <w:rPr>
          <w:sz w:val="20"/>
          <w:szCs w:val="20"/>
          <w:lang w:val="fr-FR"/>
        </w:rPr>
        <w:t xml:space="preserve"> pour les </w:t>
      </w:r>
      <w:r w:rsidR="004A4881">
        <w:rPr>
          <w:sz w:val="20"/>
          <w:szCs w:val="20"/>
          <w:lang w:val="fr-FR"/>
        </w:rPr>
        <w:t>établissements</w:t>
      </w:r>
      <w:r w:rsidRPr="005C06C1">
        <w:rPr>
          <w:sz w:val="20"/>
          <w:szCs w:val="20"/>
          <w:lang w:val="fr-FR"/>
        </w:rPr>
        <w:t xml:space="preserve"> privés et les </w:t>
      </w:r>
      <w:r w:rsidRPr="005C06C1">
        <w:rPr>
          <w:sz w:val="20"/>
          <w:szCs w:val="20"/>
          <w:lang w:val="fr-FR"/>
        </w:rPr>
        <w:lastRenderedPageBreak/>
        <w:t xml:space="preserve">hôpitaux. Au sein du groupe, l'indice de Gini </w:t>
      </w:r>
      <w:r w:rsidR="0061559F" w:rsidRPr="005C06C1">
        <w:rPr>
          <w:sz w:val="20"/>
          <w:szCs w:val="20"/>
          <w:lang w:val="fr-FR"/>
        </w:rPr>
        <w:t xml:space="preserve">était </w:t>
      </w:r>
      <w:r w:rsidR="0061559F" w:rsidRPr="005C06C1">
        <w:rPr>
          <w:color w:val="000000"/>
          <w:sz w:val="20"/>
          <w:szCs w:val="20"/>
          <w:lang w:val="fr-FR"/>
        </w:rPr>
        <w:t>de</w:t>
      </w:r>
      <w:r w:rsidRPr="005C06C1">
        <w:rPr>
          <w:color w:val="000000"/>
          <w:sz w:val="20"/>
          <w:szCs w:val="20"/>
          <w:lang w:val="fr-FR"/>
        </w:rPr>
        <w:t xml:space="preserve"> 20,4 % [IC à 95 % : </w:t>
      </w:r>
      <w:r w:rsidRPr="005C06C1">
        <w:rPr>
          <w:rFonts w:ascii="Palatino Linotype" w:hAnsi="Palatino Linotype" w:cstheme="minorHAnsi"/>
          <w:color w:val="000000"/>
          <w:sz w:val="20"/>
          <w:szCs w:val="20"/>
          <w:lang w:val="fr-FR"/>
        </w:rPr>
        <w:t>19,0-21,9</w:t>
      </w:r>
      <w:r w:rsidRPr="005C06C1">
        <w:rPr>
          <w:color w:val="000000"/>
          <w:sz w:val="20"/>
          <w:szCs w:val="20"/>
          <w:lang w:val="fr-FR"/>
        </w:rPr>
        <w:t xml:space="preserve">] en zone urbaine contre 14,5 % [IC à 95 % : </w:t>
      </w:r>
      <w:r w:rsidRPr="005C06C1">
        <w:rPr>
          <w:rFonts w:ascii="Palatino Linotype" w:hAnsi="Palatino Linotype" w:cstheme="minorHAnsi"/>
          <w:color w:val="000000"/>
          <w:sz w:val="20"/>
          <w:szCs w:val="20"/>
          <w:lang w:val="fr-FR"/>
        </w:rPr>
        <w:t>13,9-15,0</w:t>
      </w:r>
      <w:r w:rsidRPr="005C06C1">
        <w:rPr>
          <w:color w:val="000000"/>
          <w:sz w:val="20"/>
          <w:szCs w:val="20"/>
          <w:lang w:val="fr-FR"/>
        </w:rPr>
        <w:t>] en zone rurale.</w:t>
      </w:r>
    </w:p>
    <w:bookmarkEnd w:id="0"/>
    <w:p w14:paraId="3E1C5A99" w14:textId="0237CE66" w:rsidR="00C769A1" w:rsidRPr="005C06C1" w:rsidRDefault="00C769A1" w:rsidP="00C769A1">
      <w:pPr>
        <w:spacing w:before="120" w:after="120" w:line="480" w:lineRule="auto"/>
        <w:jc w:val="both"/>
        <w:rPr>
          <w:sz w:val="20"/>
          <w:szCs w:val="20"/>
          <w:lang w:val="fr-FR"/>
        </w:rPr>
      </w:pPr>
      <w:r w:rsidRPr="005C06C1">
        <w:rPr>
          <w:b/>
          <w:bCs/>
          <w:sz w:val="20"/>
          <w:szCs w:val="20"/>
          <w:lang w:val="fr-FR"/>
        </w:rPr>
        <w:t>Conclusion :</w:t>
      </w:r>
      <w:r w:rsidRPr="005C06C1">
        <w:rPr>
          <w:sz w:val="20"/>
          <w:szCs w:val="20"/>
          <w:lang w:val="fr-FR"/>
        </w:rPr>
        <w:t xml:space="preserve"> Nos résultats suggèrent </w:t>
      </w:r>
      <w:r w:rsidR="0061559F">
        <w:rPr>
          <w:sz w:val="20"/>
          <w:szCs w:val="20"/>
          <w:lang w:val="fr-FR"/>
        </w:rPr>
        <w:t>des</w:t>
      </w:r>
      <w:r w:rsidRPr="005C06C1">
        <w:rPr>
          <w:sz w:val="20"/>
          <w:szCs w:val="20"/>
          <w:lang w:val="fr-FR"/>
        </w:rPr>
        <w:t xml:space="preserve"> inégalité</w:t>
      </w:r>
      <w:r w:rsidR="0061559F">
        <w:rPr>
          <w:sz w:val="20"/>
          <w:szCs w:val="20"/>
          <w:lang w:val="fr-FR"/>
        </w:rPr>
        <w:t>s</w:t>
      </w:r>
      <w:r w:rsidRPr="005C06C1">
        <w:rPr>
          <w:sz w:val="20"/>
          <w:szCs w:val="20"/>
          <w:lang w:val="fr-FR"/>
        </w:rPr>
        <w:t xml:space="preserve"> entre et au sein des zones urbaines et rurales. La réduction de ces inégalités pourrait contribuer à fournir des soins post-partum de haute qualité à toutes les mères et à tous les nouveau-nés, quel que soit leur lieu de résidence.</w:t>
      </w:r>
    </w:p>
    <w:p w14:paraId="60CC7A18" w14:textId="4E1F94C1" w:rsidR="00A4712F" w:rsidRPr="005C06C1" w:rsidRDefault="00A4712F">
      <w:pPr>
        <w:rPr>
          <w:lang w:val="fr-FR"/>
        </w:rPr>
      </w:pPr>
    </w:p>
    <w:sectPr w:rsidR="00A4712F" w:rsidRPr="005C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A1"/>
    <w:rsid w:val="00320DE8"/>
    <w:rsid w:val="003A6A6E"/>
    <w:rsid w:val="004A4881"/>
    <w:rsid w:val="005C06C1"/>
    <w:rsid w:val="0061559F"/>
    <w:rsid w:val="006260A0"/>
    <w:rsid w:val="00770189"/>
    <w:rsid w:val="008D7B5E"/>
    <w:rsid w:val="00A27401"/>
    <w:rsid w:val="00A4712F"/>
    <w:rsid w:val="00C76039"/>
    <w:rsid w:val="00C769A1"/>
    <w:rsid w:val="00DD3783"/>
    <w:rsid w:val="00D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4FBE"/>
  <w15:chartTrackingRefBased/>
  <w15:docId w15:val="{59AD5A48-5F58-43BF-B502-82C1939E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F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769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BF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69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BF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69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BF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69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fr-BF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69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fr-BF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69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BF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69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BF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69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BF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69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BF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6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6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6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69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69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69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69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69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69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69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F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7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69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F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76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69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BF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769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69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BF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769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6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fr-BF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69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69A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769A1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C06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sskad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Cissé Kadari</dc:creator>
  <cp:keywords/>
  <dc:description/>
  <cp:lastModifiedBy>Cissé Kadari</cp:lastModifiedBy>
  <cp:revision>3</cp:revision>
  <dcterms:created xsi:type="dcterms:W3CDTF">2025-07-18T17:47:00Z</dcterms:created>
  <dcterms:modified xsi:type="dcterms:W3CDTF">2025-07-18T18:20:00Z</dcterms:modified>
</cp:coreProperties>
</file>