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E05E" w14:textId="77777777" w:rsidR="006127D7" w:rsidRPr="006127D7" w:rsidRDefault="006127D7" w:rsidP="006127D7">
      <w:pPr>
        <w:pStyle w:val="NormalWeb"/>
        <w:spacing w:after="0" w:afterAutospacing="0" w:line="360" w:lineRule="auto"/>
        <w:jc w:val="both"/>
        <w:rPr>
          <w:rFonts w:eastAsiaTheme="minorHAnsi"/>
          <w:b/>
          <w:bCs/>
          <w:kern w:val="2"/>
          <w:lang w:eastAsia="en-US"/>
          <w14:ligatures w14:val="standardContextual"/>
        </w:rPr>
      </w:pPr>
    </w:p>
    <w:p w14:paraId="7946F795" w14:textId="3294F7CE" w:rsidR="006127D7" w:rsidRPr="006127D7" w:rsidRDefault="006127D7" w:rsidP="006127D7">
      <w:pPr>
        <w:spacing w:after="0" w:line="360" w:lineRule="auto"/>
        <w:jc w:val="both"/>
        <w:rPr>
          <w:rFonts w:ascii="Times New Roman" w:hAnsi="Times New Roman" w:cs="Times New Roman"/>
          <w:b/>
          <w:bCs/>
          <w:sz w:val="24"/>
          <w:szCs w:val="24"/>
        </w:rPr>
      </w:pPr>
      <w:bookmarkStart w:id="0" w:name="_Hlk200017208"/>
      <w:r w:rsidRPr="006127D7">
        <w:rPr>
          <w:rFonts w:ascii="Times New Roman" w:hAnsi="Times New Roman" w:cs="Times New Roman"/>
          <w:b/>
          <w:bCs/>
          <w:sz w:val="24"/>
          <w:szCs w:val="24"/>
        </w:rPr>
        <w:t xml:space="preserve">Perception des communautés de l’intégration de </w:t>
      </w:r>
      <w:bookmarkStart w:id="1" w:name="_Hlk200019199"/>
      <w:bookmarkStart w:id="2" w:name="_Hlk191456233"/>
      <w:r w:rsidRPr="006127D7">
        <w:rPr>
          <w:rFonts w:ascii="Times New Roman" w:hAnsi="Times New Roman" w:cs="Times New Roman"/>
          <w:b/>
          <w:bCs/>
          <w:sz w:val="24"/>
          <w:szCs w:val="24"/>
        </w:rPr>
        <w:t xml:space="preserve">la stratégie d’élimination de l’Hépatite B </w:t>
      </w:r>
      <w:bookmarkEnd w:id="1"/>
      <w:r w:rsidRPr="006127D7">
        <w:rPr>
          <w:rFonts w:ascii="Times New Roman" w:hAnsi="Times New Roman" w:cs="Times New Roman"/>
          <w:b/>
          <w:bCs/>
          <w:sz w:val="24"/>
          <w:szCs w:val="24"/>
        </w:rPr>
        <w:t>dans le cadre de la triple élimination dans le district de Boké en Guinée</w:t>
      </w:r>
    </w:p>
    <w:bookmarkEnd w:id="0"/>
    <w:bookmarkEnd w:id="2"/>
    <w:p w14:paraId="4B02896B" w14:textId="25C15250" w:rsidR="006127D7" w:rsidRPr="006127D7" w:rsidRDefault="006127D7" w:rsidP="006127D7">
      <w:pPr>
        <w:pStyle w:val="NormalWeb"/>
        <w:spacing w:after="0" w:afterAutospacing="0" w:line="360" w:lineRule="auto"/>
        <w:jc w:val="both"/>
        <w:rPr>
          <w:rFonts w:eastAsiaTheme="minorHAnsi"/>
          <w:kern w:val="2"/>
          <w:lang w:eastAsia="en-US"/>
          <w14:ligatures w14:val="standardContextual"/>
        </w:rPr>
      </w:pPr>
      <w:r w:rsidRPr="006127D7">
        <w:rPr>
          <w:rFonts w:eastAsiaTheme="minorHAnsi"/>
          <w:b/>
          <w:bCs/>
          <w:kern w:val="2"/>
          <w:lang w:eastAsia="en-US"/>
          <w14:ligatures w14:val="standardContextual"/>
        </w:rPr>
        <w:t xml:space="preserve">Auteurs : </w:t>
      </w:r>
      <w:r w:rsidRPr="006127D7">
        <w:rPr>
          <w:rFonts w:eastAsiaTheme="minorHAnsi"/>
          <w:kern w:val="2"/>
          <w:lang w:eastAsia="en-US"/>
          <w14:ligatures w14:val="standardContextual"/>
        </w:rPr>
        <w:t>Hawa MANET</w:t>
      </w:r>
      <w:r w:rsidRPr="006127D7">
        <w:rPr>
          <w:rFonts w:eastAsiaTheme="minorHAnsi"/>
          <w:kern w:val="2"/>
          <w:vertAlign w:val="superscript"/>
          <w:lang w:eastAsia="en-US"/>
          <w14:ligatures w14:val="standardContextual"/>
        </w:rPr>
        <w:t>1,2,3</w:t>
      </w:r>
      <w:r w:rsidRPr="006127D7">
        <w:rPr>
          <w:rFonts w:eastAsiaTheme="minorHAnsi"/>
          <w:kern w:val="2"/>
          <w:lang w:eastAsia="en-US"/>
          <w14:ligatures w14:val="standardContextual"/>
        </w:rPr>
        <w:t>, Mariam KOUYATE</w:t>
      </w:r>
      <w:r w:rsidRPr="006127D7">
        <w:rPr>
          <w:rFonts w:eastAsiaTheme="minorHAnsi"/>
          <w:kern w:val="2"/>
          <w:vertAlign w:val="superscript"/>
          <w:lang w:eastAsia="en-US"/>
          <w14:ligatures w14:val="standardContextual"/>
        </w:rPr>
        <w:t>1</w:t>
      </w:r>
      <w:r w:rsidRPr="006127D7">
        <w:rPr>
          <w:rFonts w:eastAsiaTheme="minorHAnsi"/>
          <w:kern w:val="2"/>
          <w:lang w:eastAsia="en-US"/>
          <w14:ligatures w14:val="standardContextual"/>
        </w:rPr>
        <w:t xml:space="preserve">, </w:t>
      </w:r>
      <w:proofErr w:type="spellStart"/>
      <w:r w:rsidRPr="006127D7">
        <w:rPr>
          <w:rFonts w:eastAsiaTheme="minorHAnsi"/>
          <w:kern w:val="2"/>
          <w:lang w:eastAsia="en-US"/>
          <w14:ligatures w14:val="standardContextual"/>
        </w:rPr>
        <w:t>Odé</w:t>
      </w:r>
      <w:proofErr w:type="spellEnd"/>
      <w:r w:rsidRPr="006127D7">
        <w:rPr>
          <w:rFonts w:eastAsiaTheme="minorHAnsi"/>
          <w:kern w:val="2"/>
          <w:lang w:eastAsia="en-US"/>
          <w14:ligatures w14:val="standardContextual"/>
        </w:rPr>
        <w:t xml:space="preserve"> Kanku KABEMBA</w:t>
      </w:r>
      <w:r w:rsidRPr="006127D7">
        <w:rPr>
          <w:rFonts w:eastAsiaTheme="minorHAnsi"/>
          <w:kern w:val="2"/>
          <w:vertAlign w:val="superscript"/>
          <w:lang w:eastAsia="en-US"/>
          <w14:ligatures w14:val="standardContextual"/>
        </w:rPr>
        <w:t>4,</w:t>
      </w:r>
      <w:r w:rsidRPr="006127D7">
        <w:rPr>
          <w:rFonts w:eastAsiaTheme="minorHAnsi"/>
          <w:kern w:val="2"/>
          <w:lang w:eastAsia="en-US"/>
          <w14:ligatures w14:val="standardContextual"/>
        </w:rPr>
        <w:t xml:space="preserve"> Guillaume BRETON</w:t>
      </w:r>
      <w:r w:rsidRPr="006127D7">
        <w:rPr>
          <w:rFonts w:eastAsiaTheme="minorHAnsi"/>
          <w:kern w:val="2"/>
          <w:vertAlign w:val="superscript"/>
          <w:lang w:eastAsia="en-US"/>
          <w14:ligatures w14:val="standardContextual"/>
        </w:rPr>
        <w:t>4</w:t>
      </w:r>
      <w:r w:rsidRPr="006127D7">
        <w:rPr>
          <w:rFonts w:eastAsiaTheme="minorHAnsi"/>
          <w:kern w:val="2"/>
          <w:lang w:eastAsia="en-US"/>
          <w14:ligatures w14:val="standardContextual"/>
        </w:rPr>
        <w:t>, Younoussa SIDIBE</w:t>
      </w:r>
      <w:r w:rsidRPr="006127D7">
        <w:rPr>
          <w:rFonts w:eastAsiaTheme="minorHAnsi"/>
          <w:kern w:val="2"/>
          <w:vertAlign w:val="superscript"/>
          <w:lang w:eastAsia="en-US"/>
          <w14:ligatures w14:val="standardContextual"/>
        </w:rPr>
        <w:t>4</w:t>
      </w:r>
      <w:r w:rsidRPr="006127D7">
        <w:rPr>
          <w:rFonts w:eastAsiaTheme="minorHAnsi"/>
          <w:kern w:val="2"/>
          <w:lang w:eastAsia="en-US"/>
          <w14:ligatures w14:val="standardContextual"/>
        </w:rPr>
        <w:t>, Alison M. EL YADI</w:t>
      </w:r>
      <w:r w:rsidRPr="006127D7">
        <w:rPr>
          <w:rFonts w:eastAsiaTheme="minorHAnsi"/>
          <w:kern w:val="2"/>
          <w:vertAlign w:val="superscript"/>
          <w:lang w:eastAsia="en-US"/>
          <w14:ligatures w14:val="standardContextual"/>
        </w:rPr>
        <w:t>5</w:t>
      </w:r>
      <w:r w:rsidRPr="006127D7">
        <w:rPr>
          <w:rFonts w:eastAsiaTheme="minorHAnsi"/>
          <w:kern w:val="2"/>
          <w:lang w:eastAsia="en-US"/>
          <w14:ligatures w14:val="standardContextual"/>
        </w:rPr>
        <w:t>, Alexandre DELAMOU</w:t>
      </w:r>
      <w:r w:rsidRPr="006127D7">
        <w:rPr>
          <w:rFonts w:eastAsiaTheme="minorHAnsi"/>
          <w:kern w:val="2"/>
          <w:vertAlign w:val="superscript"/>
          <w:lang w:eastAsia="en-US"/>
          <w14:ligatures w14:val="standardContextual"/>
        </w:rPr>
        <w:t>1,2,3</w:t>
      </w:r>
    </w:p>
    <w:p w14:paraId="3B5E9FB2" w14:textId="77777777" w:rsidR="006127D7" w:rsidRPr="006127D7" w:rsidRDefault="006127D7" w:rsidP="006127D7">
      <w:pPr>
        <w:pStyle w:val="NormalWeb"/>
        <w:spacing w:after="0" w:afterAutospacing="0" w:line="360" w:lineRule="auto"/>
        <w:jc w:val="both"/>
        <w:rPr>
          <w:rFonts w:eastAsiaTheme="minorHAnsi"/>
          <w:b/>
          <w:bCs/>
          <w:i/>
          <w:iCs/>
          <w:kern w:val="2"/>
          <w:lang w:eastAsia="en-US"/>
          <w14:ligatures w14:val="standardContextual"/>
        </w:rPr>
      </w:pPr>
      <w:r w:rsidRPr="006127D7">
        <w:rPr>
          <w:rFonts w:eastAsiaTheme="minorHAnsi"/>
          <w:b/>
          <w:bCs/>
          <w:i/>
          <w:iCs/>
          <w:kern w:val="2"/>
          <w:lang w:eastAsia="en-US"/>
          <w14:ligatures w14:val="standardContextual"/>
        </w:rPr>
        <w:t>Affiliations :</w:t>
      </w:r>
    </w:p>
    <w:p w14:paraId="382130A1" w14:textId="77777777" w:rsidR="006127D7" w:rsidRPr="006127D7" w:rsidRDefault="006127D7" w:rsidP="006127D7">
      <w:pPr>
        <w:pStyle w:val="NormalWeb"/>
        <w:spacing w:before="0" w:beforeAutospacing="0" w:after="0" w:afterAutospacing="0" w:line="360" w:lineRule="auto"/>
        <w:jc w:val="both"/>
        <w:rPr>
          <w:rFonts w:eastAsiaTheme="minorHAnsi"/>
          <w:i/>
          <w:iCs/>
          <w:kern w:val="2"/>
          <w:lang w:eastAsia="en-US"/>
          <w14:ligatures w14:val="standardContextual"/>
        </w:rPr>
      </w:pPr>
      <w:r w:rsidRPr="006127D7">
        <w:rPr>
          <w:rFonts w:eastAsiaTheme="minorHAnsi"/>
          <w:i/>
          <w:iCs/>
          <w:kern w:val="2"/>
          <w:vertAlign w:val="superscript"/>
          <w:lang w:eastAsia="en-US"/>
          <w14:ligatures w14:val="standardContextual"/>
        </w:rPr>
        <w:t>1</w:t>
      </w:r>
      <w:r w:rsidRPr="006127D7">
        <w:rPr>
          <w:rFonts w:eastAsiaTheme="minorHAnsi"/>
          <w:i/>
          <w:iCs/>
          <w:kern w:val="2"/>
          <w:lang w:eastAsia="en-US"/>
          <w14:ligatures w14:val="standardContextual"/>
        </w:rPr>
        <w:t>Centre d’Excellence d’Afrique pour la prévention et le contrôle des maladies Transmissibles, Université Gamal Abdel Nasser, Conakry, Guinée</w:t>
      </w:r>
    </w:p>
    <w:p w14:paraId="6C535678" w14:textId="77777777" w:rsidR="006127D7" w:rsidRPr="006127D7" w:rsidRDefault="006127D7" w:rsidP="006127D7">
      <w:pPr>
        <w:pStyle w:val="NormalWeb"/>
        <w:spacing w:before="0" w:beforeAutospacing="0" w:after="0" w:afterAutospacing="0" w:line="360" w:lineRule="auto"/>
        <w:jc w:val="both"/>
        <w:rPr>
          <w:rFonts w:eastAsiaTheme="minorHAnsi"/>
          <w:i/>
          <w:iCs/>
          <w:kern w:val="2"/>
          <w:lang w:eastAsia="en-US"/>
          <w14:ligatures w14:val="standardContextual"/>
        </w:rPr>
      </w:pPr>
      <w:r w:rsidRPr="006127D7">
        <w:rPr>
          <w:rFonts w:eastAsiaTheme="minorHAnsi"/>
          <w:i/>
          <w:iCs/>
          <w:kern w:val="2"/>
          <w:vertAlign w:val="superscript"/>
          <w:lang w:eastAsia="en-US"/>
          <w14:ligatures w14:val="standardContextual"/>
        </w:rPr>
        <w:t>2</w:t>
      </w:r>
      <w:r w:rsidRPr="006127D7">
        <w:rPr>
          <w:rFonts w:eastAsiaTheme="minorHAnsi"/>
          <w:i/>
          <w:iCs/>
          <w:kern w:val="2"/>
          <w:lang w:eastAsia="en-US"/>
          <w14:ligatures w14:val="standardContextual"/>
        </w:rPr>
        <w:t>Chaire de Santé Publique, Université Gamal Abdel Nasser, Conakry, Guinée</w:t>
      </w:r>
    </w:p>
    <w:p w14:paraId="54292C75" w14:textId="77777777" w:rsidR="006127D7" w:rsidRPr="006127D7" w:rsidRDefault="006127D7" w:rsidP="006127D7">
      <w:pPr>
        <w:pStyle w:val="NormalWeb"/>
        <w:spacing w:before="0" w:beforeAutospacing="0" w:after="0" w:afterAutospacing="0" w:line="360" w:lineRule="auto"/>
        <w:jc w:val="both"/>
        <w:rPr>
          <w:rFonts w:eastAsiaTheme="minorHAnsi"/>
          <w:i/>
          <w:iCs/>
          <w:kern w:val="2"/>
          <w:lang w:eastAsia="en-US"/>
          <w14:ligatures w14:val="standardContextual"/>
        </w:rPr>
      </w:pPr>
      <w:r w:rsidRPr="006127D7">
        <w:rPr>
          <w:rFonts w:eastAsiaTheme="minorHAnsi"/>
          <w:i/>
          <w:iCs/>
          <w:kern w:val="2"/>
          <w:vertAlign w:val="superscript"/>
          <w:lang w:eastAsia="en-US"/>
          <w14:ligatures w14:val="standardContextual"/>
        </w:rPr>
        <w:t>3</w:t>
      </w:r>
      <w:r w:rsidRPr="006127D7">
        <w:rPr>
          <w:rFonts w:eastAsiaTheme="minorHAnsi"/>
          <w:i/>
          <w:iCs/>
          <w:kern w:val="2"/>
          <w:lang w:eastAsia="en-US"/>
          <w14:ligatures w14:val="standardContextual"/>
        </w:rPr>
        <w:t xml:space="preserve">Centre National de Formation et de Recherche en Santé Rurale de </w:t>
      </w:r>
      <w:proofErr w:type="spellStart"/>
      <w:r w:rsidRPr="006127D7">
        <w:rPr>
          <w:rFonts w:eastAsiaTheme="minorHAnsi"/>
          <w:i/>
          <w:iCs/>
          <w:kern w:val="2"/>
          <w:lang w:eastAsia="en-US"/>
          <w14:ligatures w14:val="standardContextual"/>
        </w:rPr>
        <w:t>Maférinyah</w:t>
      </w:r>
      <w:proofErr w:type="spellEnd"/>
      <w:r w:rsidRPr="006127D7">
        <w:rPr>
          <w:rFonts w:eastAsiaTheme="minorHAnsi"/>
          <w:i/>
          <w:iCs/>
          <w:kern w:val="2"/>
          <w:lang w:eastAsia="en-US"/>
          <w14:ligatures w14:val="standardContextual"/>
        </w:rPr>
        <w:t>, Forécariah, Guinée</w:t>
      </w:r>
    </w:p>
    <w:p w14:paraId="4A9B6FE0" w14:textId="77777777" w:rsidR="006127D7" w:rsidRPr="006127D7" w:rsidRDefault="006127D7" w:rsidP="006127D7">
      <w:pPr>
        <w:pStyle w:val="NormalWeb"/>
        <w:spacing w:before="0" w:beforeAutospacing="0" w:after="0" w:afterAutospacing="0" w:line="360" w:lineRule="auto"/>
        <w:jc w:val="both"/>
        <w:rPr>
          <w:rFonts w:eastAsiaTheme="minorHAnsi"/>
          <w:i/>
          <w:iCs/>
          <w:kern w:val="2"/>
          <w:lang w:eastAsia="en-US"/>
          <w14:ligatures w14:val="standardContextual"/>
        </w:rPr>
      </w:pPr>
      <w:r w:rsidRPr="006127D7">
        <w:rPr>
          <w:rFonts w:eastAsiaTheme="minorHAnsi"/>
          <w:i/>
          <w:iCs/>
          <w:kern w:val="2"/>
          <w:vertAlign w:val="superscript"/>
          <w:lang w:eastAsia="en-US"/>
          <w14:ligatures w14:val="standardContextual"/>
        </w:rPr>
        <w:t>4</w:t>
      </w:r>
      <w:r w:rsidRPr="006127D7">
        <w:rPr>
          <w:rFonts w:eastAsiaTheme="minorHAnsi"/>
          <w:i/>
          <w:iCs/>
          <w:kern w:val="2"/>
          <w:lang w:eastAsia="en-US"/>
          <w14:ligatures w14:val="standardContextual"/>
        </w:rPr>
        <w:t>Solidarité Thérapeutique et Initiatives pour la Santé, Guinée</w:t>
      </w:r>
    </w:p>
    <w:p w14:paraId="481FC961" w14:textId="77777777" w:rsidR="006127D7" w:rsidRPr="006127D7" w:rsidRDefault="006127D7" w:rsidP="006127D7">
      <w:pPr>
        <w:pStyle w:val="NormalWeb"/>
        <w:spacing w:before="0" w:beforeAutospacing="0" w:after="0" w:afterAutospacing="0" w:line="360" w:lineRule="auto"/>
        <w:jc w:val="both"/>
        <w:rPr>
          <w:rFonts w:eastAsiaTheme="minorHAnsi"/>
          <w:i/>
          <w:iCs/>
          <w:kern w:val="2"/>
          <w:lang w:eastAsia="en-US"/>
          <w14:ligatures w14:val="standardContextual"/>
        </w:rPr>
      </w:pPr>
      <w:r w:rsidRPr="006127D7">
        <w:rPr>
          <w:rFonts w:eastAsiaTheme="minorHAnsi"/>
          <w:i/>
          <w:iCs/>
          <w:kern w:val="2"/>
          <w:vertAlign w:val="superscript"/>
          <w:lang w:eastAsia="en-US"/>
          <w14:ligatures w14:val="standardContextual"/>
        </w:rPr>
        <w:t>5</w:t>
      </w:r>
      <w:r w:rsidRPr="006127D7">
        <w:rPr>
          <w:rFonts w:eastAsiaTheme="minorHAnsi"/>
          <w:i/>
          <w:iCs/>
          <w:kern w:val="2"/>
          <w:lang w:eastAsia="en-US"/>
          <w14:ligatures w14:val="standardContextual"/>
        </w:rPr>
        <w:t>Département d'obstétrique, de gynécologie et des sciences de la reproduction, Université de Californie à San Francisco, San Francisco, États-Unis</w:t>
      </w:r>
    </w:p>
    <w:p w14:paraId="121BAE83" w14:textId="77777777" w:rsidR="006127D7" w:rsidRPr="006127D7" w:rsidRDefault="006127D7" w:rsidP="006127D7">
      <w:pPr>
        <w:jc w:val="both"/>
        <w:rPr>
          <w:rFonts w:ascii="Times New Roman" w:hAnsi="Times New Roman" w:cs="Times New Roman"/>
        </w:rPr>
      </w:pPr>
    </w:p>
    <w:p w14:paraId="5A2D21A5" w14:textId="74844557" w:rsidR="00224128" w:rsidRDefault="006127D7" w:rsidP="006127D7">
      <w:pPr>
        <w:jc w:val="both"/>
        <w:rPr>
          <w:rFonts w:ascii="Times New Roman" w:hAnsi="Times New Roman" w:cs="Times New Roman"/>
        </w:rPr>
      </w:pPr>
      <w:r w:rsidRPr="006127D7">
        <w:rPr>
          <w:rFonts w:ascii="Times New Roman" w:hAnsi="Times New Roman" w:cs="Times New Roman"/>
          <w:b/>
          <w:bCs/>
        </w:rPr>
        <w:t>Introduction :</w:t>
      </w:r>
      <w:r w:rsidRPr="006127D7">
        <w:rPr>
          <w:rFonts w:ascii="Times New Roman" w:hAnsi="Times New Roman" w:cs="Times New Roman"/>
        </w:rPr>
        <w:t xml:space="preserve"> </w:t>
      </w:r>
      <w:r w:rsidR="00224128" w:rsidRPr="00224128">
        <w:rPr>
          <w:rFonts w:ascii="Times New Roman" w:hAnsi="Times New Roman" w:cs="Times New Roman"/>
        </w:rPr>
        <w:t>La stratégie de triple élimination de la transmission mère-enfant (TME) du VIH, de la syphilis et de l’hépatite B vise à réduire la morbidité et la mortalité néonatales. En Guinée, l’hépatite B reste peu connue des communautés, contrairement au VIH et à la syphilis. Cette étude explore les perceptions communautaires autour de l’intégration d</w:t>
      </w:r>
      <w:r w:rsidR="00CF1613">
        <w:rPr>
          <w:rFonts w:ascii="Times New Roman" w:hAnsi="Times New Roman" w:cs="Times New Roman"/>
        </w:rPr>
        <w:t>e l’hépatite B</w:t>
      </w:r>
      <w:r w:rsidR="00224128" w:rsidRPr="00224128">
        <w:rPr>
          <w:rFonts w:ascii="Times New Roman" w:hAnsi="Times New Roman" w:cs="Times New Roman"/>
        </w:rPr>
        <w:t xml:space="preserve"> dans cette stratégie, dans le district sanitaire de Boké.</w:t>
      </w:r>
    </w:p>
    <w:p w14:paraId="36DEC048" w14:textId="14311B2D" w:rsidR="00224128" w:rsidRDefault="006127D7" w:rsidP="006127D7">
      <w:pPr>
        <w:jc w:val="both"/>
        <w:rPr>
          <w:rFonts w:ascii="Times New Roman" w:hAnsi="Times New Roman" w:cs="Times New Roman"/>
        </w:rPr>
      </w:pPr>
      <w:r w:rsidRPr="006127D7">
        <w:rPr>
          <w:rFonts w:ascii="Times New Roman" w:hAnsi="Times New Roman" w:cs="Times New Roman"/>
          <w:b/>
          <w:bCs/>
        </w:rPr>
        <w:t>Méthodes :</w:t>
      </w:r>
      <w:r w:rsidRPr="006127D7">
        <w:rPr>
          <w:rFonts w:ascii="Times New Roman" w:hAnsi="Times New Roman" w:cs="Times New Roman"/>
        </w:rPr>
        <w:t xml:space="preserve"> </w:t>
      </w:r>
      <w:r w:rsidR="00FA43C9" w:rsidRPr="00FA43C9">
        <w:rPr>
          <w:rFonts w:ascii="Times New Roman" w:hAnsi="Times New Roman" w:cs="Times New Roman"/>
        </w:rPr>
        <w:t xml:space="preserve"> </w:t>
      </w:r>
      <w:bookmarkStart w:id="3" w:name="_Hlk201872616"/>
      <w:r w:rsidR="00224128" w:rsidRPr="00224128">
        <w:rPr>
          <w:rFonts w:ascii="Times New Roman" w:hAnsi="Times New Roman" w:cs="Times New Roman"/>
        </w:rPr>
        <w:t xml:space="preserve">Il s’agissait d’une étude qualitative à visé exploratoire. </w:t>
      </w:r>
      <w:bookmarkEnd w:id="3"/>
      <w:r w:rsidR="00224128" w:rsidRPr="00224128">
        <w:rPr>
          <w:rFonts w:ascii="Times New Roman" w:hAnsi="Times New Roman" w:cs="Times New Roman"/>
        </w:rPr>
        <w:t>Nous avons mené des entretiens individuels approfondis</w:t>
      </w:r>
      <w:r w:rsidR="00403019">
        <w:rPr>
          <w:rFonts w:ascii="Times New Roman" w:hAnsi="Times New Roman" w:cs="Times New Roman"/>
        </w:rPr>
        <w:t xml:space="preserve"> auprès </w:t>
      </w:r>
      <w:r w:rsidR="00224128" w:rsidRPr="00224128">
        <w:rPr>
          <w:rFonts w:ascii="Times New Roman" w:hAnsi="Times New Roman" w:cs="Times New Roman"/>
        </w:rPr>
        <w:t>des autorités sanitaires, des gestionnaires de services</w:t>
      </w:r>
      <w:r w:rsidR="00403019">
        <w:rPr>
          <w:rFonts w:ascii="Times New Roman" w:hAnsi="Times New Roman" w:cs="Times New Roman"/>
        </w:rPr>
        <w:t xml:space="preserve"> </w:t>
      </w:r>
      <w:r w:rsidR="00CF1613">
        <w:rPr>
          <w:rFonts w:ascii="Times New Roman" w:hAnsi="Times New Roman" w:cs="Times New Roman"/>
        </w:rPr>
        <w:t xml:space="preserve">de </w:t>
      </w:r>
      <w:r w:rsidR="00403019">
        <w:rPr>
          <w:rFonts w:ascii="Times New Roman" w:hAnsi="Times New Roman" w:cs="Times New Roman"/>
        </w:rPr>
        <w:t>PTME</w:t>
      </w:r>
      <w:r w:rsidR="00224128" w:rsidRPr="00224128">
        <w:rPr>
          <w:rFonts w:ascii="Times New Roman" w:hAnsi="Times New Roman" w:cs="Times New Roman"/>
        </w:rPr>
        <w:t>, des prestataires de soin</w:t>
      </w:r>
      <w:r w:rsidR="00403019">
        <w:rPr>
          <w:rFonts w:ascii="Times New Roman" w:hAnsi="Times New Roman" w:cs="Times New Roman"/>
        </w:rPr>
        <w:t xml:space="preserve">s </w:t>
      </w:r>
      <w:r w:rsidR="00224128" w:rsidRPr="00224128">
        <w:rPr>
          <w:rFonts w:ascii="Times New Roman" w:hAnsi="Times New Roman" w:cs="Times New Roman"/>
        </w:rPr>
        <w:t xml:space="preserve">et des discussions de groupe dirigées </w:t>
      </w:r>
      <w:bookmarkStart w:id="4" w:name="_Hlk200631199"/>
      <w:r w:rsidR="00403019">
        <w:rPr>
          <w:rFonts w:ascii="Times New Roman" w:hAnsi="Times New Roman" w:cs="Times New Roman"/>
        </w:rPr>
        <w:t xml:space="preserve">avec des </w:t>
      </w:r>
      <w:r w:rsidR="00224128" w:rsidRPr="00224128">
        <w:rPr>
          <w:rFonts w:ascii="Times New Roman" w:hAnsi="Times New Roman" w:cs="Times New Roman"/>
        </w:rPr>
        <w:t>femmes enceintes, et un groupe d’hommes</w:t>
      </w:r>
      <w:bookmarkEnd w:id="4"/>
      <w:r w:rsidR="00224128">
        <w:rPr>
          <w:rFonts w:ascii="Times New Roman" w:hAnsi="Times New Roman" w:cs="Times New Roman"/>
        </w:rPr>
        <w:t xml:space="preserve">. </w:t>
      </w:r>
      <w:r w:rsidR="00224128" w:rsidRPr="00224128">
        <w:rPr>
          <w:rFonts w:ascii="Times New Roman" w:hAnsi="Times New Roman" w:cs="Times New Roman"/>
        </w:rPr>
        <w:t>Pour</w:t>
      </w:r>
      <w:r w:rsidR="00383E6D" w:rsidRPr="00FA43C9">
        <w:rPr>
          <w:rFonts w:ascii="Times New Roman" w:hAnsi="Times New Roman" w:cs="Times New Roman"/>
        </w:rPr>
        <w:t xml:space="preserve"> </w:t>
      </w:r>
      <w:r w:rsidR="00403019">
        <w:rPr>
          <w:rFonts w:ascii="Times New Roman" w:hAnsi="Times New Roman" w:cs="Times New Roman"/>
        </w:rPr>
        <w:t xml:space="preserve">recueillir </w:t>
      </w:r>
      <w:r w:rsidR="00383E6D" w:rsidRPr="00FA43C9">
        <w:rPr>
          <w:rFonts w:ascii="Times New Roman" w:hAnsi="Times New Roman" w:cs="Times New Roman"/>
        </w:rPr>
        <w:t>le</w:t>
      </w:r>
      <w:r w:rsidR="00383E6D">
        <w:rPr>
          <w:rFonts w:ascii="Times New Roman" w:hAnsi="Times New Roman" w:cs="Times New Roman"/>
        </w:rPr>
        <w:t xml:space="preserve">urs </w:t>
      </w:r>
      <w:r w:rsidR="00383E6D" w:rsidRPr="00FA43C9">
        <w:rPr>
          <w:rFonts w:ascii="Times New Roman" w:hAnsi="Times New Roman" w:cs="Times New Roman"/>
        </w:rPr>
        <w:t>perceptions</w:t>
      </w:r>
      <w:r w:rsidR="00CF1613" w:rsidRPr="00CF1613">
        <w:rPr>
          <w:rFonts w:ascii="Times New Roman" w:hAnsi="Times New Roman" w:cs="Times New Roman"/>
        </w:rPr>
        <w:t xml:space="preserve"> sur le dépistage et la prévention de l’hépatite B.</w:t>
      </w:r>
    </w:p>
    <w:p w14:paraId="29B11F7F" w14:textId="50FF098E" w:rsidR="00D06079" w:rsidRDefault="006127D7" w:rsidP="006127D7">
      <w:pPr>
        <w:jc w:val="both"/>
        <w:rPr>
          <w:rFonts w:ascii="Times New Roman" w:hAnsi="Times New Roman" w:cs="Times New Roman"/>
        </w:rPr>
      </w:pPr>
      <w:r w:rsidRPr="006127D7">
        <w:rPr>
          <w:rFonts w:ascii="Times New Roman" w:hAnsi="Times New Roman" w:cs="Times New Roman"/>
          <w:b/>
          <w:bCs/>
        </w:rPr>
        <w:t>Résultats :</w:t>
      </w:r>
      <w:r>
        <w:rPr>
          <w:rFonts w:ascii="Times New Roman" w:hAnsi="Times New Roman" w:cs="Times New Roman"/>
        </w:rPr>
        <w:t xml:space="preserve"> </w:t>
      </w:r>
      <w:r w:rsidR="00D06079" w:rsidRPr="00D06079">
        <w:rPr>
          <w:rFonts w:ascii="Times New Roman" w:hAnsi="Times New Roman" w:cs="Times New Roman"/>
        </w:rPr>
        <w:t>Les participants expriment une adhésion morale forte à la prévention de la transmission mère-enfant, mais révèlent une méconnaissance généralisée de l’hépatite B. Beaucoup de femmes découvrent cette infection au cours de l’étude ou lors des causeries prénatales. Le VIH et la syphilis, abordés via le test duo, restent prioritaires dans les pratiques et les discours. Les obstacles rapportés incluent la stigmatisation liée à la divulgation du statut, le manque de transport, l’éloignement des structures, la rareté des tests pour le VHB, et un déficit d’information. Les recommandations portent sur l’introduction systématique du vaccin à la naissance, l’implication des leaders communautaires et le renforcement des capacités des prestataires.</w:t>
      </w:r>
    </w:p>
    <w:p w14:paraId="03FE17F1" w14:textId="02F6FE3E" w:rsidR="00FA43C9" w:rsidRDefault="006127D7" w:rsidP="006127D7">
      <w:pPr>
        <w:jc w:val="both"/>
        <w:rPr>
          <w:rFonts w:ascii="Times New Roman" w:hAnsi="Times New Roman" w:cs="Times New Roman"/>
        </w:rPr>
      </w:pPr>
      <w:r w:rsidRPr="006127D7">
        <w:rPr>
          <w:rFonts w:ascii="Times New Roman" w:hAnsi="Times New Roman" w:cs="Times New Roman"/>
          <w:b/>
          <w:bCs/>
        </w:rPr>
        <w:t>Conclusion :</w:t>
      </w:r>
      <w:r>
        <w:rPr>
          <w:rFonts w:ascii="Times New Roman" w:hAnsi="Times New Roman" w:cs="Times New Roman"/>
        </w:rPr>
        <w:t xml:space="preserve"> </w:t>
      </w:r>
      <w:r w:rsidR="00D06079" w:rsidRPr="00D06079">
        <w:rPr>
          <w:rFonts w:ascii="Times New Roman" w:hAnsi="Times New Roman" w:cs="Times New Roman"/>
        </w:rPr>
        <w:t>L’intégration de l’hépatite B dans les services PTME est perçue comme légitime et nécessaire par les communautés, à condition d’être accompagnée d’une communication adaptée, du respect de la confidentialité, et d’un meilleur accès aux soins.</w:t>
      </w:r>
    </w:p>
    <w:p w14:paraId="47B4B9EC" w14:textId="404CBC16" w:rsidR="00D06079" w:rsidRPr="00D06079" w:rsidRDefault="00D06079" w:rsidP="006127D7">
      <w:pPr>
        <w:jc w:val="both"/>
        <w:rPr>
          <w:rFonts w:ascii="Times New Roman" w:hAnsi="Times New Roman" w:cs="Times New Roman"/>
          <w:b/>
          <w:bCs/>
        </w:rPr>
      </w:pPr>
      <w:r w:rsidRPr="00D06079">
        <w:rPr>
          <w:rFonts w:ascii="Times New Roman" w:hAnsi="Times New Roman" w:cs="Times New Roman"/>
          <w:b/>
          <w:bCs/>
        </w:rPr>
        <w:t xml:space="preserve">Mots clés : </w:t>
      </w:r>
      <w:r w:rsidR="00AC408C">
        <w:rPr>
          <w:rFonts w:ascii="Times New Roman" w:hAnsi="Times New Roman" w:cs="Times New Roman"/>
        </w:rPr>
        <w:t>P</w:t>
      </w:r>
      <w:r w:rsidRPr="00AC408C">
        <w:rPr>
          <w:rFonts w:ascii="Times New Roman" w:hAnsi="Times New Roman" w:cs="Times New Roman"/>
        </w:rPr>
        <w:t>erceptions,</w:t>
      </w:r>
      <w:r w:rsidR="00AC408C" w:rsidRPr="00AC408C">
        <w:rPr>
          <w:rFonts w:ascii="Times New Roman" w:hAnsi="Times New Roman" w:cs="Times New Roman"/>
        </w:rPr>
        <w:t xml:space="preserve"> élimination,</w:t>
      </w:r>
      <w:r w:rsidRPr="00AC408C">
        <w:rPr>
          <w:rFonts w:ascii="Times New Roman" w:hAnsi="Times New Roman" w:cs="Times New Roman"/>
        </w:rPr>
        <w:t xml:space="preserve"> </w:t>
      </w:r>
      <w:r w:rsidR="00AC408C" w:rsidRPr="00AC408C">
        <w:rPr>
          <w:rFonts w:ascii="Times New Roman" w:hAnsi="Times New Roman" w:cs="Times New Roman"/>
        </w:rPr>
        <w:t xml:space="preserve">Hépatite B, </w:t>
      </w:r>
      <w:r w:rsidRPr="00AC408C">
        <w:rPr>
          <w:rFonts w:ascii="Times New Roman" w:hAnsi="Times New Roman" w:cs="Times New Roman"/>
        </w:rPr>
        <w:t xml:space="preserve">transmission mère-enfant, </w:t>
      </w:r>
      <w:r w:rsidR="00AC408C" w:rsidRPr="00AC408C">
        <w:rPr>
          <w:rFonts w:ascii="Times New Roman" w:hAnsi="Times New Roman" w:cs="Times New Roman"/>
        </w:rPr>
        <w:t>Boké.</w:t>
      </w:r>
    </w:p>
    <w:p w14:paraId="0BC1077D" w14:textId="77777777" w:rsidR="00237A42" w:rsidRPr="006127D7" w:rsidRDefault="00237A42" w:rsidP="006127D7">
      <w:pPr>
        <w:jc w:val="both"/>
        <w:rPr>
          <w:rFonts w:ascii="Times New Roman" w:hAnsi="Times New Roman" w:cs="Times New Roman"/>
        </w:rPr>
      </w:pPr>
    </w:p>
    <w:sectPr w:rsidR="00237A42" w:rsidRPr="00612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C9"/>
    <w:rsid w:val="0002782E"/>
    <w:rsid w:val="000367B6"/>
    <w:rsid w:val="00224128"/>
    <w:rsid w:val="00237A42"/>
    <w:rsid w:val="002D6273"/>
    <w:rsid w:val="00383E6D"/>
    <w:rsid w:val="003B1F2B"/>
    <w:rsid w:val="00403019"/>
    <w:rsid w:val="00462D34"/>
    <w:rsid w:val="005B1770"/>
    <w:rsid w:val="006127D7"/>
    <w:rsid w:val="00A365C6"/>
    <w:rsid w:val="00AB71CE"/>
    <w:rsid w:val="00AC408C"/>
    <w:rsid w:val="00CF1613"/>
    <w:rsid w:val="00D06079"/>
    <w:rsid w:val="00E8664F"/>
    <w:rsid w:val="00FA43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847E"/>
  <w15:chartTrackingRefBased/>
  <w15:docId w15:val="{816A2ABC-646D-49C2-82B3-1AF7FD59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4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A4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A43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A43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A43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A43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43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43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43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43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A43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43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A43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A43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A43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43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43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43C9"/>
    <w:rPr>
      <w:rFonts w:eastAsiaTheme="majorEastAsia" w:cstheme="majorBidi"/>
      <w:color w:val="272727" w:themeColor="text1" w:themeTint="D8"/>
    </w:rPr>
  </w:style>
  <w:style w:type="paragraph" w:styleId="Titre">
    <w:name w:val="Title"/>
    <w:basedOn w:val="Normal"/>
    <w:next w:val="Normal"/>
    <w:link w:val="TitreCar"/>
    <w:uiPriority w:val="10"/>
    <w:qFormat/>
    <w:rsid w:val="00FA4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43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43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43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43C9"/>
    <w:pPr>
      <w:spacing w:before="160"/>
      <w:jc w:val="center"/>
    </w:pPr>
    <w:rPr>
      <w:i/>
      <w:iCs/>
      <w:color w:val="404040" w:themeColor="text1" w:themeTint="BF"/>
    </w:rPr>
  </w:style>
  <w:style w:type="character" w:customStyle="1" w:styleId="CitationCar">
    <w:name w:val="Citation Car"/>
    <w:basedOn w:val="Policepardfaut"/>
    <w:link w:val="Citation"/>
    <w:uiPriority w:val="29"/>
    <w:rsid w:val="00FA43C9"/>
    <w:rPr>
      <w:i/>
      <w:iCs/>
      <w:color w:val="404040" w:themeColor="text1" w:themeTint="BF"/>
    </w:rPr>
  </w:style>
  <w:style w:type="paragraph" w:styleId="Paragraphedeliste">
    <w:name w:val="List Paragraph"/>
    <w:basedOn w:val="Normal"/>
    <w:uiPriority w:val="34"/>
    <w:qFormat/>
    <w:rsid w:val="00FA43C9"/>
    <w:pPr>
      <w:ind w:left="720"/>
      <w:contextualSpacing/>
    </w:pPr>
  </w:style>
  <w:style w:type="character" w:styleId="Accentuationintense">
    <w:name w:val="Intense Emphasis"/>
    <w:basedOn w:val="Policepardfaut"/>
    <w:uiPriority w:val="21"/>
    <w:qFormat/>
    <w:rsid w:val="00FA43C9"/>
    <w:rPr>
      <w:i/>
      <w:iCs/>
      <w:color w:val="2F5496" w:themeColor="accent1" w:themeShade="BF"/>
    </w:rPr>
  </w:style>
  <w:style w:type="paragraph" w:styleId="Citationintense">
    <w:name w:val="Intense Quote"/>
    <w:basedOn w:val="Normal"/>
    <w:next w:val="Normal"/>
    <w:link w:val="CitationintenseCar"/>
    <w:uiPriority w:val="30"/>
    <w:qFormat/>
    <w:rsid w:val="00FA4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A43C9"/>
    <w:rPr>
      <w:i/>
      <w:iCs/>
      <w:color w:val="2F5496" w:themeColor="accent1" w:themeShade="BF"/>
    </w:rPr>
  </w:style>
  <w:style w:type="character" w:styleId="Rfrenceintense">
    <w:name w:val="Intense Reference"/>
    <w:basedOn w:val="Policepardfaut"/>
    <w:uiPriority w:val="32"/>
    <w:qFormat/>
    <w:rsid w:val="00FA43C9"/>
    <w:rPr>
      <w:b/>
      <w:bCs/>
      <w:smallCaps/>
      <w:color w:val="2F5496" w:themeColor="accent1" w:themeShade="BF"/>
      <w:spacing w:val="5"/>
    </w:rPr>
  </w:style>
  <w:style w:type="paragraph" w:styleId="NormalWeb">
    <w:name w:val="Normal (Web)"/>
    <w:basedOn w:val="Normal"/>
    <w:uiPriority w:val="99"/>
    <w:unhideWhenUsed/>
    <w:rsid w:val="006127D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826730">
      <w:bodyDiv w:val="1"/>
      <w:marLeft w:val="0"/>
      <w:marRight w:val="0"/>
      <w:marTop w:val="0"/>
      <w:marBottom w:val="0"/>
      <w:divBdr>
        <w:top w:val="none" w:sz="0" w:space="0" w:color="auto"/>
        <w:left w:val="none" w:sz="0" w:space="0" w:color="auto"/>
        <w:bottom w:val="none" w:sz="0" w:space="0" w:color="auto"/>
        <w:right w:val="none" w:sz="0" w:space="0" w:color="auto"/>
      </w:divBdr>
    </w:div>
    <w:div w:id="17841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426</Words>
  <Characters>2345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Mariama Kouyate</dc:creator>
  <cp:keywords/>
  <dc:description/>
  <cp:lastModifiedBy>Mariama Kouyate</cp:lastModifiedBy>
  <cp:revision>2</cp:revision>
  <dcterms:created xsi:type="dcterms:W3CDTF">2025-06-28T21:23:00Z</dcterms:created>
  <dcterms:modified xsi:type="dcterms:W3CDTF">2025-06-28T21:23:00Z</dcterms:modified>
</cp:coreProperties>
</file>