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8416" w14:textId="77777777" w:rsidR="0079288F" w:rsidRPr="00E22ED4" w:rsidRDefault="0079288F" w:rsidP="009836B9">
      <w:pPr>
        <w:spacing w:line="360" w:lineRule="auto"/>
        <w:jc w:val="both"/>
        <w:rPr>
          <w:rFonts w:ascii="Arial" w:hAnsi="Arial" w:cs="Arial"/>
          <w:b/>
          <w:bCs/>
        </w:rPr>
      </w:pPr>
      <w:r w:rsidRPr="00E22ED4">
        <w:rPr>
          <w:rFonts w:ascii="Arial" w:hAnsi="Arial" w:cs="Arial"/>
          <w:b/>
          <w:bCs/>
        </w:rPr>
        <w:t>Anémie sévère dans le sud du Bénin : prévalence et impact clinique dans les hôpitaux de référence.</w:t>
      </w:r>
    </w:p>
    <w:p w14:paraId="53F2A3FF" w14:textId="77777777" w:rsidR="00E22ED4" w:rsidRPr="00E22ED4" w:rsidRDefault="00E22ED4" w:rsidP="00E22ED4">
      <w:pPr>
        <w:spacing w:line="360" w:lineRule="auto"/>
        <w:jc w:val="both"/>
        <w:rPr>
          <w:rFonts w:ascii="Arial" w:hAnsi="Arial" w:cs="Arial"/>
          <w:i/>
          <w:iCs/>
          <w:vertAlign w:val="superscript"/>
        </w:rPr>
      </w:pPr>
      <w:r w:rsidRPr="00E22ED4">
        <w:rPr>
          <w:rFonts w:ascii="Arial" w:hAnsi="Arial" w:cs="Arial"/>
          <w:i/>
          <w:iCs/>
        </w:rPr>
        <w:t>Landry Assongba</w:t>
      </w:r>
      <w:r w:rsidRPr="00E22ED4">
        <w:rPr>
          <w:rFonts w:ascii="Arial" w:hAnsi="Arial" w:cs="Arial"/>
          <w:i/>
          <w:iCs/>
          <w:vertAlign w:val="superscript"/>
        </w:rPr>
        <w:t>1,2*</w:t>
      </w:r>
      <w:r w:rsidRPr="00E22ED4">
        <w:rPr>
          <w:rFonts w:ascii="Arial" w:hAnsi="Arial" w:cs="Arial"/>
          <w:i/>
          <w:iCs/>
        </w:rPr>
        <w:t>, Oumou Boukari</w:t>
      </w:r>
      <w:r w:rsidRPr="00E22ED4">
        <w:rPr>
          <w:rFonts w:ascii="Arial" w:hAnsi="Arial" w:cs="Arial"/>
          <w:i/>
          <w:iCs/>
          <w:vertAlign w:val="superscript"/>
        </w:rPr>
        <w:t>1</w:t>
      </w:r>
      <w:r w:rsidRPr="00E22ED4">
        <w:rPr>
          <w:rFonts w:ascii="Arial" w:hAnsi="Arial" w:cs="Arial"/>
          <w:i/>
          <w:iCs/>
        </w:rPr>
        <w:t xml:space="preserve">, Jules </w:t>
      </w:r>
      <w:proofErr w:type="spellStart"/>
      <w:r w:rsidRPr="00E22ED4">
        <w:rPr>
          <w:rFonts w:ascii="Arial" w:hAnsi="Arial" w:cs="Arial"/>
          <w:i/>
          <w:iCs/>
        </w:rPr>
        <w:t>Maroufou</w:t>
      </w:r>
      <w:proofErr w:type="spellEnd"/>
      <w:r w:rsidRPr="00E22ED4">
        <w:rPr>
          <w:rFonts w:ascii="Arial" w:hAnsi="Arial" w:cs="Arial"/>
          <w:i/>
          <w:iCs/>
        </w:rPr>
        <w:t xml:space="preserve"> Alao</w:t>
      </w:r>
      <w:r w:rsidRPr="00E22ED4">
        <w:rPr>
          <w:rFonts w:ascii="Arial" w:hAnsi="Arial" w:cs="Arial"/>
          <w:i/>
          <w:iCs/>
          <w:vertAlign w:val="superscript"/>
        </w:rPr>
        <w:t>3</w:t>
      </w:r>
      <w:r w:rsidRPr="00E22ED4">
        <w:rPr>
          <w:rFonts w:ascii="Arial" w:hAnsi="Arial" w:cs="Arial"/>
          <w:i/>
          <w:iCs/>
        </w:rPr>
        <w:t>, Natacha Nouwakpo</w:t>
      </w:r>
      <w:r w:rsidRPr="00E22ED4">
        <w:rPr>
          <w:rFonts w:ascii="Arial" w:hAnsi="Arial" w:cs="Arial"/>
          <w:i/>
          <w:iCs/>
          <w:vertAlign w:val="superscript"/>
        </w:rPr>
        <w:t>4</w:t>
      </w:r>
      <w:r w:rsidRPr="00E22ED4">
        <w:rPr>
          <w:rFonts w:ascii="Arial" w:hAnsi="Arial" w:cs="Arial"/>
          <w:i/>
          <w:iCs/>
        </w:rPr>
        <w:t>, Jeanne Perpétue Vincent</w:t>
      </w:r>
      <w:r w:rsidRPr="00E22ED4">
        <w:rPr>
          <w:rFonts w:ascii="Arial" w:hAnsi="Arial" w:cs="Arial"/>
          <w:i/>
          <w:iCs/>
          <w:vertAlign w:val="superscript"/>
        </w:rPr>
        <w:t>5</w:t>
      </w:r>
      <w:r w:rsidRPr="00E22ED4">
        <w:rPr>
          <w:rFonts w:ascii="Arial" w:hAnsi="Arial" w:cs="Arial"/>
          <w:i/>
          <w:iCs/>
        </w:rPr>
        <w:t>, Adrian J F Luty</w:t>
      </w:r>
      <w:r w:rsidRPr="00E22ED4">
        <w:rPr>
          <w:rFonts w:ascii="Arial" w:hAnsi="Arial" w:cs="Arial"/>
          <w:i/>
          <w:iCs/>
          <w:vertAlign w:val="superscript"/>
        </w:rPr>
        <w:t>5</w:t>
      </w:r>
      <w:r w:rsidRPr="00E22ED4">
        <w:rPr>
          <w:rFonts w:ascii="Arial" w:hAnsi="Arial" w:cs="Arial"/>
          <w:i/>
          <w:iCs/>
        </w:rPr>
        <w:t xml:space="preserve">, </w:t>
      </w:r>
      <w:proofErr w:type="spellStart"/>
      <w:r w:rsidRPr="00E22ED4">
        <w:rPr>
          <w:rFonts w:ascii="Arial" w:hAnsi="Arial" w:cs="Arial"/>
          <w:i/>
          <w:iCs/>
        </w:rPr>
        <w:t>Feiko</w:t>
      </w:r>
      <w:proofErr w:type="spellEnd"/>
      <w:r w:rsidRPr="00E22ED4">
        <w:rPr>
          <w:rFonts w:ascii="Arial" w:hAnsi="Arial" w:cs="Arial"/>
          <w:i/>
          <w:iCs/>
        </w:rPr>
        <w:t xml:space="preserve"> O ter Kuile</w:t>
      </w:r>
      <w:r w:rsidRPr="00E22ED4">
        <w:rPr>
          <w:rFonts w:ascii="Arial" w:hAnsi="Arial" w:cs="Arial"/>
          <w:i/>
          <w:iCs/>
          <w:vertAlign w:val="superscript"/>
        </w:rPr>
        <w:t>6</w:t>
      </w:r>
      <w:r w:rsidRPr="00E22ED4">
        <w:rPr>
          <w:rFonts w:ascii="Arial" w:hAnsi="Arial" w:cs="Arial"/>
          <w:i/>
          <w:iCs/>
        </w:rPr>
        <w:t>, Achille Massougbodji</w:t>
      </w:r>
      <w:r w:rsidRPr="00E22ED4">
        <w:rPr>
          <w:rFonts w:ascii="Arial" w:hAnsi="Arial" w:cs="Arial"/>
          <w:i/>
          <w:iCs/>
          <w:vertAlign w:val="superscript"/>
        </w:rPr>
        <w:t>1</w:t>
      </w:r>
      <w:r w:rsidRPr="00E22ED4">
        <w:rPr>
          <w:rFonts w:ascii="Arial" w:hAnsi="Arial" w:cs="Arial"/>
          <w:i/>
          <w:iCs/>
        </w:rPr>
        <w:t>, Jenny Hill</w:t>
      </w:r>
      <w:r w:rsidRPr="00E22ED4">
        <w:rPr>
          <w:rFonts w:ascii="Arial" w:hAnsi="Arial" w:cs="Arial"/>
          <w:i/>
          <w:iCs/>
          <w:vertAlign w:val="superscript"/>
        </w:rPr>
        <w:t>6</w:t>
      </w:r>
      <w:r w:rsidRPr="00E22ED4">
        <w:rPr>
          <w:rFonts w:ascii="Arial" w:hAnsi="Arial" w:cs="Arial"/>
          <w:i/>
          <w:iCs/>
        </w:rPr>
        <w:t>, Valérie Briand</w:t>
      </w:r>
      <w:r w:rsidRPr="00E22ED4">
        <w:rPr>
          <w:rFonts w:ascii="Arial" w:hAnsi="Arial" w:cs="Arial"/>
          <w:i/>
          <w:iCs/>
          <w:vertAlign w:val="superscript"/>
        </w:rPr>
        <w:t>2,7</w:t>
      </w:r>
      <w:r w:rsidRPr="00E22ED4">
        <w:rPr>
          <w:rFonts w:ascii="Arial" w:hAnsi="Arial" w:cs="Arial"/>
          <w:i/>
          <w:iCs/>
        </w:rPr>
        <w:t>, Manfred Accrombessi</w:t>
      </w:r>
      <w:r w:rsidRPr="00E22ED4">
        <w:rPr>
          <w:rFonts w:ascii="Arial" w:hAnsi="Arial" w:cs="Arial"/>
          <w:i/>
          <w:iCs/>
          <w:vertAlign w:val="superscript"/>
        </w:rPr>
        <w:t>1</w:t>
      </w:r>
    </w:p>
    <w:p w14:paraId="355BAA81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E22ED4">
        <w:rPr>
          <w:rFonts w:ascii="Arial" w:hAnsi="Arial" w:cs="Arial"/>
          <w:i/>
          <w:iCs/>
          <w:color w:val="000000"/>
          <w:vertAlign w:val="superscript"/>
        </w:rPr>
        <w:t>1</w:t>
      </w:r>
      <w:r w:rsidRPr="00E22ED4">
        <w:rPr>
          <w:rFonts w:ascii="Arial" w:hAnsi="Arial" w:cs="Arial"/>
          <w:i/>
          <w:iCs/>
          <w:color w:val="000000"/>
        </w:rPr>
        <w:t>Institut de Recherche Clinique du Bénin (IRCB), Abomey-Calavi, Bénin</w:t>
      </w:r>
    </w:p>
    <w:p w14:paraId="18A8DCA0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  <w:lang w:val="en-GB"/>
        </w:rPr>
      </w:pPr>
      <w:r w:rsidRPr="00E22ED4">
        <w:rPr>
          <w:rFonts w:ascii="Arial" w:hAnsi="Arial" w:cs="Arial"/>
          <w:i/>
          <w:iCs/>
          <w:color w:val="000000"/>
          <w:vertAlign w:val="superscript"/>
          <w:lang w:val="en-GB"/>
        </w:rPr>
        <w:t>2</w:t>
      </w:r>
      <w:r w:rsidRPr="00E22ED4">
        <w:rPr>
          <w:rFonts w:ascii="Arial" w:hAnsi="Arial" w:cs="Arial"/>
          <w:i/>
          <w:iCs/>
          <w:color w:val="000000"/>
          <w:lang w:val="en-GB"/>
        </w:rPr>
        <w:t>University of Bordeaux, National Institute for Health and Medical Research (INSERM) UMR 1219, Research Institute for Sustainable Development (IRD) EMR 271, Bordeaux Population Health Centre, Bordeaux, France</w:t>
      </w:r>
    </w:p>
    <w:p w14:paraId="21249DB9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E22ED4">
        <w:rPr>
          <w:rFonts w:ascii="Arial" w:hAnsi="Arial" w:cs="Arial"/>
          <w:i/>
          <w:iCs/>
          <w:color w:val="000000"/>
          <w:vertAlign w:val="superscript"/>
        </w:rPr>
        <w:t>3</w:t>
      </w:r>
      <w:r w:rsidRPr="00E22ED4">
        <w:rPr>
          <w:rFonts w:ascii="Arial" w:hAnsi="Arial" w:cs="Arial"/>
          <w:i/>
          <w:iCs/>
          <w:color w:val="000000"/>
        </w:rPr>
        <w:t>Centre Hospitalier et Universitaire de la Mère et de l’Enfant Lagune (CHU-MEL), Cotonou, Bénin</w:t>
      </w:r>
    </w:p>
    <w:p w14:paraId="14C39382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E22ED4">
        <w:rPr>
          <w:rFonts w:ascii="Arial" w:hAnsi="Arial" w:cs="Arial"/>
          <w:i/>
          <w:iCs/>
          <w:color w:val="000000"/>
          <w:vertAlign w:val="superscript"/>
        </w:rPr>
        <w:t>4</w:t>
      </w:r>
      <w:r w:rsidRPr="00E22ED4">
        <w:rPr>
          <w:rFonts w:ascii="Arial" w:hAnsi="Arial" w:cs="Arial"/>
          <w:i/>
          <w:iCs/>
          <w:color w:val="000000"/>
        </w:rPr>
        <w:t>Centre Hospitalier Départementale du Zou (CHD-Z), Abomey, Bénin</w:t>
      </w:r>
    </w:p>
    <w:p w14:paraId="2DFE98C7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E22ED4">
        <w:rPr>
          <w:rFonts w:ascii="Arial" w:hAnsi="Arial" w:cs="Arial"/>
          <w:i/>
          <w:iCs/>
          <w:color w:val="000000"/>
          <w:vertAlign w:val="superscript"/>
        </w:rPr>
        <w:t>5</w:t>
      </w:r>
      <w:r w:rsidRPr="00E22ED4">
        <w:rPr>
          <w:rFonts w:ascii="Arial" w:hAnsi="Arial" w:cs="Arial"/>
          <w:i/>
          <w:iCs/>
          <w:shd w:val="clear" w:color="auto" w:fill="FFFFFF"/>
        </w:rPr>
        <w:t xml:space="preserve"> Université Paris Cité, IRD, MERIT, F-75006</w:t>
      </w:r>
      <w:r w:rsidRPr="00E22ED4">
        <w:rPr>
          <w:rFonts w:ascii="Arial" w:hAnsi="Arial" w:cs="Arial"/>
          <w:i/>
          <w:iCs/>
          <w:color w:val="000000"/>
        </w:rPr>
        <w:t xml:space="preserve"> Paris, France</w:t>
      </w:r>
      <w:r w:rsidRPr="00E22ED4" w:rsidDel="00501E3E">
        <w:rPr>
          <w:rFonts w:ascii="Arial" w:hAnsi="Arial" w:cs="Arial"/>
          <w:i/>
          <w:iCs/>
          <w:color w:val="000000"/>
        </w:rPr>
        <w:t xml:space="preserve"> </w:t>
      </w:r>
    </w:p>
    <w:p w14:paraId="1B37C6C3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  <w:i/>
          <w:iCs/>
          <w:color w:val="000000"/>
          <w:lang w:val="en-GB"/>
        </w:rPr>
      </w:pPr>
      <w:r w:rsidRPr="00E22ED4">
        <w:rPr>
          <w:rFonts w:ascii="Arial" w:hAnsi="Arial" w:cs="Arial"/>
          <w:i/>
          <w:iCs/>
          <w:vertAlign w:val="superscript"/>
          <w:lang w:val="en-GB"/>
        </w:rPr>
        <w:t>6</w:t>
      </w:r>
      <w:r w:rsidRPr="00E22ED4">
        <w:rPr>
          <w:rFonts w:ascii="Arial" w:hAnsi="Arial" w:cs="Arial"/>
          <w:i/>
          <w:iCs/>
          <w:lang w:val="en-GB"/>
        </w:rPr>
        <w:t xml:space="preserve">Department of Clinical Sciences, </w:t>
      </w:r>
      <w:r w:rsidRPr="00E22ED4">
        <w:rPr>
          <w:rFonts w:ascii="Arial" w:hAnsi="Arial" w:cs="Arial"/>
          <w:i/>
          <w:iCs/>
          <w:color w:val="000000"/>
          <w:lang w:val="en-GB"/>
        </w:rPr>
        <w:t>Liverpool School of Tropical Medicine (LSTM), Pembroke Place, Liverpool L3 5QA, United Kingdom</w:t>
      </w:r>
    </w:p>
    <w:p w14:paraId="45D0F0B8" w14:textId="77777777" w:rsidR="00E22ED4" w:rsidRPr="00E22ED4" w:rsidRDefault="00E22ED4" w:rsidP="00E22ED4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E22ED4">
        <w:rPr>
          <w:rFonts w:ascii="Arial" w:hAnsi="Arial" w:cs="Arial"/>
          <w:i/>
          <w:iCs/>
          <w:color w:val="000000"/>
          <w:vertAlign w:val="superscript"/>
        </w:rPr>
        <w:t>7</w:t>
      </w:r>
      <w:r w:rsidRPr="00E22ED4">
        <w:rPr>
          <w:rFonts w:ascii="Arial" w:hAnsi="Arial" w:cs="Arial"/>
          <w:i/>
          <w:iCs/>
          <w:color w:val="000000"/>
        </w:rPr>
        <w:t>Epicentre, Médecin Sans Frontière, Paris, France</w:t>
      </w:r>
    </w:p>
    <w:p w14:paraId="003A11A1" w14:textId="77777777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</w:rPr>
      </w:pPr>
      <w:r w:rsidRPr="00E22ED4">
        <w:rPr>
          <w:rFonts w:ascii="Arial" w:hAnsi="Arial" w:cs="Arial"/>
        </w:rPr>
        <w:t xml:space="preserve">* </w:t>
      </w:r>
      <w:r w:rsidRPr="00E22ED4">
        <w:rPr>
          <w:rFonts w:ascii="Arial" w:hAnsi="Arial" w:cs="Arial"/>
          <w:i/>
          <w:iCs/>
        </w:rPr>
        <w:t>Auteur correspondant :</w:t>
      </w:r>
      <w:r w:rsidRPr="00E22ED4">
        <w:rPr>
          <w:rFonts w:ascii="Arial" w:hAnsi="Arial" w:cs="Arial"/>
        </w:rPr>
        <w:t xml:space="preserve"> Landry Assongba</w:t>
      </w:r>
    </w:p>
    <w:p w14:paraId="55540BEB" w14:textId="0E134E6D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</w:rPr>
      </w:pPr>
      <w:r w:rsidRPr="00E22ED4">
        <w:rPr>
          <w:rFonts w:ascii="Arial" w:hAnsi="Arial" w:cs="Arial"/>
        </w:rPr>
        <w:t xml:space="preserve">* </w:t>
      </w:r>
      <w:r w:rsidRPr="00E22ED4">
        <w:rPr>
          <w:rFonts w:ascii="Arial" w:hAnsi="Arial" w:cs="Arial"/>
          <w:i/>
          <w:iCs/>
        </w:rPr>
        <w:t>Initiale a</w:t>
      </w:r>
      <w:r w:rsidRPr="00E22ED4">
        <w:rPr>
          <w:rFonts w:ascii="Arial" w:hAnsi="Arial" w:cs="Arial"/>
          <w:i/>
          <w:iCs/>
        </w:rPr>
        <w:t>uteur correspondant :</w:t>
      </w:r>
      <w:r w:rsidRPr="00E22ED4">
        <w:rPr>
          <w:rFonts w:ascii="Arial" w:hAnsi="Arial" w:cs="Arial"/>
        </w:rPr>
        <w:t xml:space="preserve"> L</w:t>
      </w:r>
      <w:r w:rsidRPr="00E22ED4">
        <w:rPr>
          <w:rFonts w:ascii="Arial" w:hAnsi="Arial" w:cs="Arial"/>
        </w:rPr>
        <w:t>A</w:t>
      </w:r>
    </w:p>
    <w:p w14:paraId="5E7D35AB" w14:textId="7DA51E41" w:rsidR="00E22ED4" w:rsidRPr="00E22ED4" w:rsidRDefault="00E22ED4" w:rsidP="00E22ED4">
      <w:pPr>
        <w:spacing w:after="0" w:line="360" w:lineRule="auto"/>
        <w:jc w:val="both"/>
        <w:rPr>
          <w:rFonts w:ascii="Arial" w:hAnsi="Arial" w:cs="Arial"/>
        </w:rPr>
      </w:pPr>
      <w:r w:rsidRPr="00E22ED4">
        <w:rPr>
          <w:rFonts w:ascii="Arial" w:hAnsi="Arial" w:cs="Arial"/>
        </w:rPr>
        <w:t xml:space="preserve">* </w:t>
      </w:r>
      <w:r w:rsidRPr="00E22ED4">
        <w:rPr>
          <w:rFonts w:ascii="Arial" w:hAnsi="Arial" w:cs="Arial"/>
          <w:i/>
          <w:iCs/>
        </w:rPr>
        <w:t>Email a</w:t>
      </w:r>
      <w:r w:rsidRPr="00E22ED4">
        <w:rPr>
          <w:rFonts w:ascii="Arial" w:hAnsi="Arial" w:cs="Arial"/>
          <w:i/>
          <w:iCs/>
        </w:rPr>
        <w:t>uteur correspondant :</w:t>
      </w:r>
      <w:r w:rsidRPr="00E22ED4">
        <w:rPr>
          <w:rFonts w:ascii="Arial" w:hAnsi="Arial" w:cs="Arial"/>
        </w:rPr>
        <w:t xml:space="preserve"> </w:t>
      </w:r>
      <w:hyperlink r:id="rId6" w:history="1">
        <w:r w:rsidRPr="00E22ED4">
          <w:rPr>
            <w:rStyle w:val="Lienhypertexte"/>
            <w:rFonts w:ascii="Arial" w:hAnsi="Arial" w:cs="Arial"/>
          </w:rPr>
          <w:t>assolandry@yahoo.fr</w:t>
        </w:r>
      </w:hyperlink>
      <w:r w:rsidRPr="00E22ED4">
        <w:rPr>
          <w:rFonts w:ascii="Arial" w:hAnsi="Arial" w:cs="Arial"/>
        </w:rPr>
        <w:t xml:space="preserve"> </w:t>
      </w:r>
    </w:p>
    <w:p w14:paraId="0A670C70" w14:textId="77777777" w:rsidR="00E22ED4" w:rsidRDefault="00E22ED4" w:rsidP="00E22ED4">
      <w:pPr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</w:p>
    <w:p w14:paraId="5A03186C" w14:textId="70ABD068" w:rsidR="0079288F" w:rsidRPr="00E22ED4" w:rsidRDefault="0079288F" w:rsidP="00E22ED4">
      <w:pPr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  <w:r w:rsidRPr="00E22ED4">
        <w:rPr>
          <w:rFonts w:ascii="Arial" w:hAnsi="Arial" w:cs="Arial"/>
          <w:b/>
          <w:bCs/>
          <w:lang w:val="en-GB"/>
        </w:rPr>
        <w:t>Résumé</w:t>
      </w:r>
    </w:p>
    <w:p w14:paraId="4CD6ED8E" w14:textId="77777777" w:rsidR="00CD0CBA" w:rsidRPr="00CD0CBA" w:rsidRDefault="00CD0CBA" w:rsidP="00E22ED4">
      <w:pPr>
        <w:spacing w:after="0" w:line="360" w:lineRule="auto"/>
        <w:jc w:val="both"/>
        <w:rPr>
          <w:rFonts w:ascii="Arial" w:hAnsi="Arial" w:cs="Arial"/>
        </w:rPr>
      </w:pPr>
      <w:r w:rsidRPr="00CD0CBA">
        <w:rPr>
          <w:rFonts w:ascii="Arial" w:hAnsi="Arial" w:cs="Arial"/>
          <w:b/>
          <w:bCs/>
        </w:rPr>
        <w:t xml:space="preserve">Contexte : </w:t>
      </w:r>
      <w:r w:rsidRPr="00CD0CBA">
        <w:rPr>
          <w:rFonts w:ascii="Arial" w:hAnsi="Arial" w:cs="Arial"/>
        </w:rPr>
        <w:t>L'anémie sévère est un problème de santé publique majeur dans le monde entier, touchant de manière disproportionnée les enfants en Afrique, où environ 40 % des enfants de 6 à 59 mois sont concernés. Elle entraîne des complications importantes pendant et après l'hospitalisation. Cette étude vise à évaluer la prévalence et l'impact de l'anémie sévère dans deux hôpitaux de référence au Bénin.</w:t>
      </w:r>
    </w:p>
    <w:p w14:paraId="6C6444FD" w14:textId="3CB4DA3E" w:rsidR="00CD0CBA" w:rsidRPr="00CD0CBA" w:rsidRDefault="00CD0CBA" w:rsidP="00E22ED4">
      <w:pPr>
        <w:spacing w:after="0" w:line="360" w:lineRule="auto"/>
        <w:jc w:val="both"/>
        <w:rPr>
          <w:rFonts w:ascii="Arial" w:hAnsi="Arial" w:cs="Arial"/>
        </w:rPr>
      </w:pPr>
      <w:r w:rsidRPr="00CD0CBA">
        <w:rPr>
          <w:rFonts w:ascii="Arial" w:hAnsi="Arial" w:cs="Arial"/>
          <w:b/>
          <w:bCs/>
        </w:rPr>
        <w:t>Méthodes :</w:t>
      </w:r>
      <w:r w:rsidRPr="00CD0CBA">
        <w:rPr>
          <w:rFonts w:ascii="Arial" w:hAnsi="Arial" w:cs="Arial"/>
        </w:rPr>
        <w:t xml:space="preserve"> Nous avons mené une étude rétrospective dans deux hôpitaux de référence au Bénin : le Centre hospitalier universitaire mère-enfant de Lagune (CHU-MEL) et le Centre hospitalier départemental de Zou/Collines (CHD/Z-C). Les données sociodémographiques, cliniques et biologiques ont été extraites des dossiers médicaux des patients admis en pédiatrie en 2023 à l'aide d'un questionnaire standardisé. L'anémie sévère clinique a été définie comme une anémie avec signes de décompensation nécessitant une transfusion sanguine, et l’anémie biologique sévère comme un taux d’hémoglobine &lt; 5 g/dl. Les données ont été collectées et analysées avec </w:t>
      </w:r>
      <w:proofErr w:type="spellStart"/>
      <w:r w:rsidRPr="00CD0CBA">
        <w:rPr>
          <w:rFonts w:ascii="Arial" w:hAnsi="Arial" w:cs="Arial"/>
        </w:rPr>
        <w:t>Kobo</w:t>
      </w:r>
      <w:proofErr w:type="spellEnd"/>
      <w:r w:rsidRPr="00CD0CBA">
        <w:rPr>
          <w:rFonts w:ascii="Arial" w:hAnsi="Arial" w:cs="Arial"/>
        </w:rPr>
        <w:t xml:space="preserve"> </w:t>
      </w:r>
      <w:proofErr w:type="spellStart"/>
      <w:r w:rsidRPr="00CD0CBA">
        <w:rPr>
          <w:rFonts w:ascii="Arial" w:hAnsi="Arial" w:cs="Arial"/>
        </w:rPr>
        <w:t>Collect</w:t>
      </w:r>
      <w:proofErr w:type="spellEnd"/>
      <w:r w:rsidRPr="00CD0CBA">
        <w:rPr>
          <w:rFonts w:ascii="Arial" w:hAnsi="Arial" w:cs="Arial"/>
        </w:rPr>
        <w:t xml:space="preserve"> et Stata 15.0.</w:t>
      </w:r>
    </w:p>
    <w:p w14:paraId="5DB78708" w14:textId="48C346BD" w:rsidR="00CD0CBA" w:rsidRPr="00CD0CBA" w:rsidRDefault="00CD0CBA" w:rsidP="00E22E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0CBA">
        <w:rPr>
          <w:rFonts w:ascii="Arial" w:hAnsi="Arial" w:cs="Arial"/>
          <w:b/>
          <w:bCs/>
        </w:rPr>
        <w:lastRenderedPageBreak/>
        <w:t xml:space="preserve">Résultats : </w:t>
      </w:r>
      <w:r w:rsidRPr="00CD0CBA">
        <w:rPr>
          <w:rFonts w:ascii="Arial" w:hAnsi="Arial" w:cs="Arial"/>
        </w:rPr>
        <w:t xml:space="preserve">Au total, 7 152 dossiers pédiatriques ont été analysés. Environ 50,14 % présentaient une anémie clinique sévère et 49,30 % une anémie biologique sévère. Un tiers des cas (34,8 %) étaient dus à un paludisme sévère. Une transfusion a été nécessaire chez 88,2 % des enfants atteints d’anémie sévère. L’âge &lt; 2 ans et la malnutrition sévère étaient associés à une </w:t>
      </w:r>
      <w:r w:rsidRPr="00E22ED4">
        <w:rPr>
          <w:rFonts w:ascii="Arial" w:hAnsi="Arial" w:cs="Arial"/>
        </w:rPr>
        <w:t xml:space="preserve">augmentation de la </w:t>
      </w:r>
      <w:r w:rsidRPr="00CD0CBA">
        <w:rPr>
          <w:rFonts w:ascii="Arial" w:hAnsi="Arial" w:cs="Arial"/>
        </w:rPr>
        <w:t xml:space="preserve">mortalité hospitalière </w:t>
      </w:r>
      <w:r w:rsidRPr="00E22ED4">
        <w:rPr>
          <w:rFonts w:ascii="Arial" w:hAnsi="Arial" w:cs="Arial"/>
        </w:rPr>
        <w:t>en cas d’anémie sévère</w:t>
      </w:r>
      <w:r w:rsidRPr="00CD0CBA">
        <w:rPr>
          <w:rFonts w:ascii="Arial" w:hAnsi="Arial" w:cs="Arial"/>
        </w:rPr>
        <w:t>.</w:t>
      </w:r>
    </w:p>
    <w:p w14:paraId="64C4381D" w14:textId="2E8D1D33" w:rsidR="00CD0CBA" w:rsidRPr="00E22ED4" w:rsidRDefault="00CD0CBA" w:rsidP="00E22ED4">
      <w:pPr>
        <w:spacing w:line="360" w:lineRule="auto"/>
        <w:jc w:val="both"/>
        <w:rPr>
          <w:rFonts w:ascii="Arial" w:hAnsi="Arial" w:cs="Arial"/>
        </w:rPr>
      </w:pPr>
      <w:r w:rsidRPr="00CD0CBA">
        <w:rPr>
          <w:rFonts w:ascii="Arial" w:hAnsi="Arial" w:cs="Arial"/>
          <w:b/>
          <w:bCs/>
        </w:rPr>
        <w:t xml:space="preserve">Conclusion : </w:t>
      </w:r>
      <w:r w:rsidRPr="00CD0CBA">
        <w:rPr>
          <w:rFonts w:ascii="Arial" w:hAnsi="Arial" w:cs="Arial"/>
        </w:rPr>
        <w:t xml:space="preserve">L’anémie sévère est un facteur majeur d’hospitalisation pédiatrique, souvent lié au paludisme. </w:t>
      </w:r>
      <w:r w:rsidRPr="00E22ED4">
        <w:rPr>
          <w:rFonts w:ascii="Arial" w:hAnsi="Arial" w:cs="Arial"/>
        </w:rPr>
        <w:t xml:space="preserve">Sa prise en charge efficace doit nécessiter la prise compte de plusieurs facteurs.  </w:t>
      </w:r>
      <w:r w:rsidRPr="00CD0CBA">
        <w:rPr>
          <w:rFonts w:ascii="Arial" w:hAnsi="Arial" w:cs="Arial"/>
        </w:rPr>
        <w:t xml:space="preserve">Une stratégie intégrée, combinant </w:t>
      </w:r>
      <w:proofErr w:type="spellStart"/>
      <w:r w:rsidRPr="00CD0CBA">
        <w:rPr>
          <w:rFonts w:ascii="Arial" w:hAnsi="Arial" w:cs="Arial"/>
        </w:rPr>
        <w:t>chimioprévention</w:t>
      </w:r>
      <w:proofErr w:type="spellEnd"/>
      <w:r w:rsidRPr="00CD0CBA">
        <w:rPr>
          <w:rFonts w:ascii="Arial" w:hAnsi="Arial" w:cs="Arial"/>
        </w:rPr>
        <w:t xml:space="preserve"> post-sortie (PDMC) et interventions nutritionnelles ciblées, est essentielle pour réduire la mortalité dans les zones à forte transmission du paludisme.</w:t>
      </w:r>
    </w:p>
    <w:p w14:paraId="4B953879" w14:textId="2BE1B82A" w:rsidR="008A1F2A" w:rsidRPr="00E22ED4" w:rsidRDefault="00E22ED4" w:rsidP="00E22E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Mots </w:t>
      </w:r>
      <w:proofErr w:type="gramStart"/>
      <w:r>
        <w:rPr>
          <w:rFonts w:ascii="Arial" w:hAnsi="Arial" w:cs="Arial"/>
          <w:b/>
        </w:rPr>
        <w:t>clés</w:t>
      </w:r>
      <w:r w:rsidR="008A1F2A" w:rsidRPr="00E22ED4">
        <w:rPr>
          <w:rFonts w:ascii="Arial" w:hAnsi="Arial" w:cs="Arial"/>
          <w:bCs/>
        </w:rPr>
        <w:t>:</w:t>
      </w:r>
      <w:proofErr w:type="gramEnd"/>
      <w:r w:rsidR="008A1F2A" w:rsidRPr="00E22ED4">
        <w:rPr>
          <w:rFonts w:ascii="Arial" w:hAnsi="Arial" w:cs="Arial"/>
        </w:rPr>
        <w:t xml:space="preserve"> </w:t>
      </w:r>
      <w:r w:rsidR="00CD0CBA" w:rsidRPr="00E22ED4">
        <w:rPr>
          <w:rFonts w:ascii="Arial" w:hAnsi="Arial" w:cs="Arial"/>
        </w:rPr>
        <w:t xml:space="preserve">Anémie sévère, Impact </w:t>
      </w:r>
      <w:r w:rsidRPr="00E22ED4">
        <w:rPr>
          <w:rFonts w:ascii="Arial" w:hAnsi="Arial" w:cs="Arial"/>
        </w:rPr>
        <w:t>c</w:t>
      </w:r>
      <w:r w:rsidR="00CD0CBA" w:rsidRPr="00E22ED4">
        <w:rPr>
          <w:rFonts w:ascii="Arial" w:hAnsi="Arial" w:cs="Arial"/>
        </w:rPr>
        <w:t xml:space="preserve">linique, </w:t>
      </w:r>
      <w:r w:rsidRPr="00E22ED4">
        <w:rPr>
          <w:rFonts w:ascii="Arial" w:hAnsi="Arial" w:cs="Arial"/>
        </w:rPr>
        <w:t>Prévalence</w:t>
      </w:r>
      <w:r w:rsidR="008A1F2A" w:rsidRPr="00E22ED4">
        <w:rPr>
          <w:rFonts w:ascii="Arial" w:hAnsi="Arial" w:cs="Arial"/>
        </w:rPr>
        <w:t>,</w:t>
      </w:r>
      <w:r w:rsidRPr="00E22ED4">
        <w:rPr>
          <w:rFonts w:ascii="Arial" w:hAnsi="Arial" w:cs="Arial"/>
        </w:rPr>
        <w:t xml:space="preserve"> </w:t>
      </w:r>
      <w:r w:rsidR="00CD0CBA" w:rsidRPr="00E22ED4">
        <w:rPr>
          <w:rFonts w:ascii="Arial" w:hAnsi="Arial" w:cs="Arial"/>
        </w:rPr>
        <w:t xml:space="preserve">Mortalité hospitalière, Enfant. </w:t>
      </w:r>
    </w:p>
    <w:p w14:paraId="77926D04" w14:textId="365CA00B" w:rsidR="006F71E2" w:rsidRPr="00E22ED4" w:rsidRDefault="006F71E2" w:rsidP="00E22ED4">
      <w:pPr>
        <w:spacing w:after="0" w:line="360" w:lineRule="auto"/>
        <w:ind w:left="-680" w:right="170"/>
        <w:rPr>
          <w:rFonts w:ascii="Arial" w:hAnsi="Arial" w:cs="Arial"/>
        </w:rPr>
      </w:pPr>
    </w:p>
    <w:sectPr w:rsidR="006F71E2" w:rsidRPr="00E22E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283F" w14:textId="77777777" w:rsidR="00923251" w:rsidRDefault="00923251" w:rsidP="008A1F2A">
      <w:pPr>
        <w:spacing w:after="0" w:line="240" w:lineRule="auto"/>
      </w:pPr>
      <w:r>
        <w:separator/>
      </w:r>
    </w:p>
  </w:endnote>
  <w:endnote w:type="continuationSeparator" w:id="0">
    <w:p w14:paraId="65103450" w14:textId="77777777" w:rsidR="00923251" w:rsidRDefault="00923251" w:rsidP="008A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08895"/>
      <w:docPartObj>
        <w:docPartGallery w:val="Page Numbers (Bottom of Page)"/>
        <w:docPartUnique/>
      </w:docPartObj>
    </w:sdtPr>
    <w:sdtContent>
      <w:p w14:paraId="1EC9FA2F" w14:textId="3260E399" w:rsidR="008A1F2A" w:rsidRDefault="008A1F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C532E" w14:textId="77777777" w:rsidR="008A1F2A" w:rsidRDefault="008A1F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15DE" w14:textId="77777777" w:rsidR="00923251" w:rsidRDefault="00923251" w:rsidP="008A1F2A">
      <w:pPr>
        <w:spacing w:after="0" w:line="240" w:lineRule="auto"/>
      </w:pPr>
      <w:r>
        <w:separator/>
      </w:r>
    </w:p>
  </w:footnote>
  <w:footnote w:type="continuationSeparator" w:id="0">
    <w:p w14:paraId="4E7BFE82" w14:textId="77777777" w:rsidR="00923251" w:rsidRDefault="00923251" w:rsidP="008A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D"/>
    <w:rsid w:val="00147402"/>
    <w:rsid w:val="00182CB5"/>
    <w:rsid w:val="00235F0D"/>
    <w:rsid w:val="00252BD0"/>
    <w:rsid w:val="0039051A"/>
    <w:rsid w:val="003A35CB"/>
    <w:rsid w:val="003D59EB"/>
    <w:rsid w:val="004829D4"/>
    <w:rsid w:val="00497973"/>
    <w:rsid w:val="00512F77"/>
    <w:rsid w:val="005704A1"/>
    <w:rsid w:val="006263B8"/>
    <w:rsid w:val="006E1AA8"/>
    <w:rsid w:val="006F71E2"/>
    <w:rsid w:val="00734C08"/>
    <w:rsid w:val="0079288F"/>
    <w:rsid w:val="007F30CD"/>
    <w:rsid w:val="00803D06"/>
    <w:rsid w:val="0085600A"/>
    <w:rsid w:val="0088768E"/>
    <w:rsid w:val="008A1F2A"/>
    <w:rsid w:val="00900BD9"/>
    <w:rsid w:val="00923251"/>
    <w:rsid w:val="009836B9"/>
    <w:rsid w:val="009C60AC"/>
    <w:rsid w:val="00B51E33"/>
    <w:rsid w:val="00B64970"/>
    <w:rsid w:val="00C410E2"/>
    <w:rsid w:val="00CD0CBA"/>
    <w:rsid w:val="00CF2282"/>
    <w:rsid w:val="00D40B38"/>
    <w:rsid w:val="00E22ED4"/>
    <w:rsid w:val="00F332C0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0B61"/>
  <w15:chartTrackingRefBased/>
  <w15:docId w15:val="{E4185F90-4006-46F5-BACF-1B0EE6D6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1F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F2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A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F2A"/>
  </w:style>
  <w:style w:type="paragraph" w:styleId="Pieddepage">
    <w:name w:val="footer"/>
    <w:basedOn w:val="Normal"/>
    <w:link w:val="PieddepageCar"/>
    <w:uiPriority w:val="99"/>
    <w:unhideWhenUsed/>
    <w:rsid w:val="008A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landry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Assongba</dc:creator>
  <cp:keywords/>
  <dc:description/>
  <cp:lastModifiedBy>Landry ASSONGBA</cp:lastModifiedBy>
  <cp:revision>16</cp:revision>
  <dcterms:created xsi:type="dcterms:W3CDTF">2025-01-03T12:34:00Z</dcterms:created>
  <dcterms:modified xsi:type="dcterms:W3CDTF">2025-06-30T15:03:00Z</dcterms:modified>
</cp:coreProperties>
</file>