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F520" w14:textId="491B6ED9" w:rsidR="004C7912" w:rsidRDefault="004C7912" w:rsidP="00404133">
      <w:pPr>
        <w:rPr>
          <w:b/>
          <w:bCs/>
          <w:lang w:val="fr-FR" w:eastAsia="fr-BJ"/>
        </w:rPr>
      </w:pPr>
      <w:r>
        <w:rPr>
          <w:b/>
          <w:bCs/>
          <w:lang w:val="fr-FR" w:eastAsia="fr-BJ"/>
        </w:rPr>
        <w:t>Deuxième congrès de la société Africaine de santé publique ,9au 11 Septembre 2025.Proposition de communication</w:t>
      </w:r>
    </w:p>
    <w:p w14:paraId="4215A0E0" w14:textId="77777777" w:rsidR="004C7912" w:rsidRDefault="004C7912" w:rsidP="00404133">
      <w:pPr>
        <w:rPr>
          <w:b/>
          <w:bCs/>
          <w:lang w:val="fr-FR" w:eastAsia="fr-BJ"/>
        </w:rPr>
      </w:pPr>
    </w:p>
    <w:p w14:paraId="3E3690BA" w14:textId="2C75A11C" w:rsidR="00854AB9" w:rsidRPr="004C7912" w:rsidRDefault="00404133" w:rsidP="00404133">
      <w:pPr>
        <w:rPr>
          <w:b/>
          <w:bCs/>
          <w:lang w:val="fr-FR" w:eastAsia="fr-BJ"/>
        </w:rPr>
      </w:pPr>
      <w:r w:rsidRPr="00404133">
        <w:rPr>
          <w:b/>
          <w:bCs/>
          <w:lang w:val="fr-FR" w:eastAsia="fr-BJ"/>
        </w:rPr>
        <w:t>1-</w:t>
      </w:r>
      <w:r w:rsidR="0037555C" w:rsidRPr="00404133">
        <w:rPr>
          <w:b/>
          <w:bCs/>
          <w:lang w:eastAsia="fr-BJ"/>
        </w:rPr>
        <w:t>Titre</w:t>
      </w:r>
      <w:r w:rsidR="004C7912">
        <w:rPr>
          <w:b/>
          <w:bCs/>
          <w:lang w:val="fr-FR" w:eastAsia="fr-BJ"/>
        </w:rPr>
        <w:t xml:space="preserve"> de la communication</w:t>
      </w:r>
    </w:p>
    <w:p w14:paraId="59B07E9D" w14:textId="60FD8DF2" w:rsidR="0037555C" w:rsidRPr="0037555C" w:rsidRDefault="00854AB9" w:rsidP="00404133">
      <w:pPr>
        <w:rPr>
          <w:lang w:eastAsia="fr-BJ"/>
        </w:rPr>
      </w:pPr>
      <w:r w:rsidRPr="00D041BE">
        <w:rPr>
          <w:lang w:val="fr-FR"/>
        </w:rPr>
        <w:t xml:space="preserve">Période prédiagnostique du cancer du sein au Bénin : barrières et </w:t>
      </w:r>
      <w:r w:rsidR="00D041BE" w:rsidRPr="00D041BE">
        <w:rPr>
          <w:lang w:val="fr-FR"/>
        </w:rPr>
        <w:t>opportunités.</w:t>
      </w:r>
    </w:p>
    <w:p w14:paraId="01BC44AB" w14:textId="574C8C1A" w:rsidR="00D3754B" w:rsidRPr="002D131C" w:rsidRDefault="00404133" w:rsidP="00D3754B">
      <w:pPr>
        <w:rPr>
          <w:b/>
          <w:bCs/>
          <w:lang w:eastAsia="fr-BJ"/>
        </w:rPr>
      </w:pPr>
      <w:r w:rsidRPr="00D3754B">
        <w:rPr>
          <w:b/>
          <w:bCs/>
          <w:lang w:val="fr-FR" w:eastAsia="fr-BJ"/>
        </w:rPr>
        <w:t>2-</w:t>
      </w:r>
      <w:r w:rsidR="0037555C" w:rsidRPr="00D3754B">
        <w:rPr>
          <w:b/>
          <w:bCs/>
          <w:lang w:eastAsia="fr-BJ"/>
        </w:rPr>
        <w:t>Auteur</w:t>
      </w:r>
      <w:r w:rsidR="002D131C">
        <w:rPr>
          <w:b/>
          <w:bCs/>
          <w:lang w:val="fr-FR" w:eastAsia="fr-BJ"/>
        </w:rPr>
        <w:t>e</w:t>
      </w:r>
      <w:r w:rsidR="0037555C" w:rsidRPr="00D3754B">
        <w:rPr>
          <w:b/>
          <w:bCs/>
          <w:lang w:eastAsia="fr-BJ"/>
        </w:rPr>
        <w:t xml:space="preserve"> et affiliati</w:t>
      </w:r>
      <w:proofErr w:type="spellStart"/>
      <w:r w:rsidR="008A7D93">
        <w:rPr>
          <w:b/>
          <w:bCs/>
          <w:lang w:val="fr-FR" w:eastAsia="fr-BJ"/>
        </w:rPr>
        <w:t>ons</w:t>
      </w:r>
      <w:proofErr w:type="spellEnd"/>
    </w:p>
    <w:p w14:paraId="179005EB" w14:textId="4AE8859E" w:rsidR="00D3754B" w:rsidRPr="00D3754B" w:rsidRDefault="002D131C" w:rsidP="00404133">
      <w:pPr>
        <w:pStyle w:val="Paragraphedeliste"/>
        <w:numPr>
          <w:ilvl w:val="0"/>
          <w:numId w:val="5"/>
        </w:numPr>
        <w:rPr>
          <w:lang w:eastAsia="fr-BJ"/>
        </w:rPr>
      </w:pPr>
      <w:r>
        <w:rPr>
          <w:lang w:val="fr-FR" w:eastAsia="fr-BJ"/>
        </w:rPr>
        <w:t>Auteure</w:t>
      </w:r>
      <w:r w:rsidR="00D041BE" w:rsidRPr="00D3754B">
        <w:rPr>
          <w:lang w:val="fr-FR" w:eastAsia="fr-BJ"/>
        </w:rPr>
        <w:t xml:space="preserve"> : </w:t>
      </w:r>
      <w:r w:rsidR="00854AB9" w:rsidRPr="00D3754B">
        <w:rPr>
          <w:lang w:val="fr-FR" w:eastAsia="fr-BJ"/>
        </w:rPr>
        <w:t xml:space="preserve">Ingrid O. ALOMA </w:t>
      </w:r>
      <w:bookmarkStart w:id="0" w:name="_Hlk201590946"/>
      <w:r w:rsidR="00854AB9" w:rsidRPr="00D3754B">
        <w:rPr>
          <w:lang w:val="fr-FR" w:eastAsia="fr-BJ"/>
        </w:rPr>
        <w:t>Faculté des sciences et de la santé (FSS) Cotonou, Bénin</w:t>
      </w:r>
      <w:bookmarkEnd w:id="0"/>
      <w:r w:rsidR="00854AB9" w:rsidRPr="00D3754B">
        <w:rPr>
          <w:lang w:val="fr-FR" w:eastAsia="fr-BJ"/>
        </w:rPr>
        <w:t>.</w:t>
      </w:r>
    </w:p>
    <w:p w14:paraId="2A59F537" w14:textId="7A0E7C53" w:rsidR="00D3754B" w:rsidRPr="00D3754B" w:rsidRDefault="00D041BE" w:rsidP="00404133">
      <w:pPr>
        <w:pStyle w:val="Paragraphedeliste"/>
        <w:numPr>
          <w:ilvl w:val="0"/>
          <w:numId w:val="5"/>
        </w:numPr>
        <w:rPr>
          <w:lang w:eastAsia="fr-BJ"/>
        </w:rPr>
      </w:pPr>
      <w:r w:rsidRPr="00D3754B">
        <w:rPr>
          <w:lang w:val="fr-FR" w:eastAsia="fr-BJ"/>
        </w:rPr>
        <w:t>Directeur de thèse : Professeur Freddy GNANGNON</w:t>
      </w:r>
      <w:r w:rsidR="00404133" w:rsidRPr="00D3754B">
        <w:rPr>
          <w:lang w:val="fr-FR" w:eastAsia="fr-BJ"/>
        </w:rPr>
        <w:t xml:space="preserve"> chirurgien oncologue à la </w:t>
      </w:r>
      <w:r w:rsidR="00D3754B" w:rsidRPr="00D3754B">
        <w:rPr>
          <w:lang w:val="fr-FR" w:eastAsia="fr-BJ"/>
        </w:rPr>
        <w:t>Faculté des sciences et de la santé (FSS) Cotonou, Bénin</w:t>
      </w:r>
    </w:p>
    <w:p w14:paraId="3A5CA060" w14:textId="4CDC9E9B" w:rsidR="00D041BE" w:rsidRPr="002D131C" w:rsidRDefault="00D041BE" w:rsidP="00404133">
      <w:pPr>
        <w:pStyle w:val="Paragraphedeliste"/>
        <w:numPr>
          <w:ilvl w:val="0"/>
          <w:numId w:val="5"/>
        </w:numPr>
        <w:rPr>
          <w:lang w:eastAsia="fr-BJ"/>
        </w:rPr>
      </w:pPr>
      <w:r w:rsidRPr="00D3754B">
        <w:rPr>
          <w:lang w:val="fr-FR" w:eastAsia="fr-BJ"/>
        </w:rPr>
        <w:t xml:space="preserve">Co-directrice de thèse : Dr Clémence SCHANTZ </w:t>
      </w:r>
      <w:r w:rsidR="00404133" w:rsidRPr="00D3754B">
        <w:rPr>
          <w:lang w:val="fr-FR" w:eastAsia="fr-BJ"/>
        </w:rPr>
        <w:t>chercheuse à l’Institut de recherche et de développement (IRD)</w:t>
      </w:r>
    </w:p>
    <w:p w14:paraId="46BD6BC3" w14:textId="43CB11A0" w:rsidR="002D131C" w:rsidRPr="00D3754B" w:rsidRDefault="002D131C" w:rsidP="00404133">
      <w:pPr>
        <w:pStyle w:val="Paragraphedeliste"/>
        <w:numPr>
          <w:ilvl w:val="0"/>
          <w:numId w:val="5"/>
        </w:numPr>
        <w:rPr>
          <w:lang w:eastAsia="fr-BJ"/>
        </w:rPr>
      </w:pPr>
      <w:r>
        <w:rPr>
          <w:lang w:val="fr-FR" w:eastAsia="fr-BJ"/>
        </w:rPr>
        <w:t xml:space="preserve">Affiliations :  Centre National Hospitalier Universitaire Hubert Koutoukou MAGA(CNHU), Centre Hospitalier Universitaire de la mère et de l’enfant (CHUMEL), Laboratoire d’épidémiologie des maladies chroniques et neurologiques (LEMACEN), Faculté des sciences et de la santé de Cotonou (FSS UAC) </w:t>
      </w:r>
    </w:p>
    <w:p w14:paraId="0914D6CA" w14:textId="44E309D5" w:rsidR="0037555C" w:rsidRPr="002D131C" w:rsidRDefault="00404133" w:rsidP="00404133">
      <w:pPr>
        <w:rPr>
          <w:b/>
          <w:bCs/>
          <w:lang w:val="fr-FR" w:eastAsia="fr-BJ"/>
        </w:rPr>
      </w:pPr>
      <w:r w:rsidRPr="00404133">
        <w:rPr>
          <w:b/>
          <w:bCs/>
          <w:lang w:val="fr-FR" w:eastAsia="fr-BJ"/>
        </w:rPr>
        <w:t>3-</w:t>
      </w:r>
      <w:r w:rsidR="002D131C">
        <w:rPr>
          <w:b/>
          <w:bCs/>
          <w:lang w:val="fr-FR" w:eastAsia="fr-BJ"/>
        </w:rPr>
        <w:t>Résumé</w:t>
      </w:r>
    </w:p>
    <w:p w14:paraId="6DB10B77" w14:textId="3C11D46F" w:rsidR="004C7912" w:rsidRDefault="004C7912" w:rsidP="004C7912"/>
    <w:p w14:paraId="1FC2A752" w14:textId="77777777" w:rsidR="002D131C" w:rsidRDefault="004C7912" w:rsidP="002D131C">
      <w:r w:rsidRPr="002D131C">
        <w:rPr>
          <w:b/>
          <w:bCs/>
        </w:rPr>
        <w:t xml:space="preserve">Contexte de </w:t>
      </w:r>
      <w:r w:rsidR="002D131C" w:rsidRPr="002D131C">
        <w:rPr>
          <w:b/>
          <w:bCs/>
        </w:rPr>
        <w:t>l’étude :</w:t>
      </w:r>
      <w:r w:rsidRPr="004C7912">
        <w:t xml:space="preserve"> Le cancer du sein est une pathologie chronique, un problème de santé publique à l’échelle mondiale en termes d’incidence et de mortalité. Le taux d’incidence en Afrique est de 198.553 cas soit 8,6 %. Au Bénin Le délai moyen entre la découverte de l’anomalie mammaire et la première consultation était de 6,21 mois. Les tumeurs étaient surtout classées T3 et T4 (65,95 %) avec un envahissement ganglionnaire et des métastases cliniquement notées dans 21,78 % des cas. Les tumeurs “luminal B” (32,57 %) et les tumeurs triples négatives (31,29 %) étaient les types moléculaires les plus fréquents. La présente étude a pour but d’Identifier les différentes barrières et opportunités chez les femmes au Bénin au cours de la période pré diagnostique du cancer du sein en vue de l’amélioration des stratégies de dépistage et de diagnostic </w:t>
      </w:r>
      <w:r w:rsidR="002D131C" w:rsidRPr="004C7912">
        <w:t>précoce.</w:t>
      </w:r>
      <w:r w:rsidRPr="004C7912">
        <w:t xml:space="preserve">                                            </w:t>
      </w:r>
      <w:r w:rsidR="002D131C" w:rsidRPr="002D131C">
        <w:rPr>
          <w:b/>
          <w:bCs/>
        </w:rPr>
        <w:t>Méthode</w:t>
      </w:r>
      <w:r w:rsidR="002D131C" w:rsidRPr="004C7912">
        <w:t xml:space="preserve"> :</w:t>
      </w:r>
      <w:r w:rsidRPr="004C7912">
        <w:t xml:space="preserve"> C'est une étude qualitative avec 35 entretiens semi directifs avec des femmes diagnostiquées du cancer du sein </w:t>
      </w:r>
      <w:r w:rsidR="002D131C" w:rsidRPr="004C7912">
        <w:t>résidantes au</w:t>
      </w:r>
      <w:r w:rsidRPr="004C7912">
        <w:t xml:space="preserve"> Bénin et suivi au CNHU-HKM et le CHU-MEL. Les entretiens ont été transcrits et l'analyse avec le Levesque et al theoretical Framework. </w:t>
      </w:r>
    </w:p>
    <w:p w14:paraId="7B12E152" w14:textId="77777777" w:rsidR="002D131C" w:rsidRDefault="002D131C" w:rsidP="002D131C">
      <w:r w:rsidRPr="002D131C">
        <w:rPr>
          <w:b/>
          <w:bCs/>
        </w:rPr>
        <w:t>Résultats :</w:t>
      </w:r>
      <w:r w:rsidR="004C7912" w:rsidRPr="004C7912">
        <w:t xml:space="preserve"> </w:t>
      </w:r>
      <w:r>
        <w:rPr>
          <w:lang w:val="fr-FR"/>
        </w:rPr>
        <w:t>S</w:t>
      </w:r>
      <w:r w:rsidRPr="004C7912">
        <w:t>u</w:t>
      </w:r>
      <w:r>
        <w:rPr>
          <w:lang w:val="fr-FR"/>
        </w:rPr>
        <w:t xml:space="preserve">r </w:t>
      </w:r>
      <w:r w:rsidRPr="004C7912">
        <w:t>les</w:t>
      </w:r>
      <w:r w:rsidR="004C7912" w:rsidRPr="004C7912">
        <w:t xml:space="preserve"> 35 femmes,14 fonctionnaires de l'état,13 avec prise en charge de l'état,</w:t>
      </w:r>
      <w:r w:rsidRPr="004C7912">
        <w:t>12 prestataires</w:t>
      </w:r>
      <w:r w:rsidR="004C7912" w:rsidRPr="004C7912">
        <w:t xml:space="preserve"> en entreprise,06 avec assurance maladie et 10 qui n'en disposent pas,13 entrepreneures.11 femmes ayant utilisé la prise en charge et assurance pour les bilans paracliniques. Parmi ces femmes sélectionnées, 11 en arrêt à cause de la maladie,01 en arrêt pour une autre raison,05 reprises après la maladie,07 retraitées,11 </w:t>
      </w:r>
      <w:r w:rsidRPr="004C7912">
        <w:t>en fonction</w:t>
      </w:r>
      <w:r w:rsidR="004C7912" w:rsidRPr="004C7912">
        <w:t xml:space="preserve">. On retrouve plus de barrières que d'opportunités au diagnostic précoce à savoir la limitation des moyens financiers, le manque de soutien de l'entourage, la </w:t>
      </w:r>
      <w:r w:rsidRPr="004C7912">
        <w:t>peur, insuffisances</w:t>
      </w:r>
      <w:r w:rsidR="004C7912" w:rsidRPr="004C7912">
        <w:t xml:space="preserve"> du système de santé.</w:t>
      </w:r>
    </w:p>
    <w:p w14:paraId="130F7813" w14:textId="7A513BC2" w:rsidR="004C7912" w:rsidRDefault="004C7912" w:rsidP="002D131C">
      <w:r w:rsidRPr="002D131C">
        <w:rPr>
          <w:b/>
          <w:bCs/>
        </w:rPr>
        <w:t>Conclusion</w:t>
      </w:r>
      <w:r w:rsidR="002D131C" w:rsidRPr="002D131C">
        <w:rPr>
          <w:b/>
          <w:bCs/>
        </w:rPr>
        <w:t xml:space="preserve"> : Le</w:t>
      </w:r>
      <w:r w:rsidRPr="004C7912">
        <w:t xml:space="preserve"> diagnostic du cancer du sein tardif chez les femmes est associé à plusieurs </w:t>
      </w:r>
      <w:r w:rsidR="00775209" w:rsidRPr="004C7912">
        <w:t>barrières. Il</w:t>
      </w:r>
      <w:r w:rsidRPr="004C7912">
        <w:t xml:space="preserve"> urge de travailler sur ces différentes barrières.</w:t>
      </w:r>
    </w:p>
    <w:p w14:paraId="196E6E93" w14:textId="55F639A7" w:rsidR="00775209" w:rsidRPr="00775209" w:rsidRDefault="00775209" w:rsidP="002D131C">
      <w:pPr>
        <w:rPr>
          <w:lang w:val="fr-FR"/>
        </w:rPr>
      </w:pPr>
      <w:r w:rsidRPr="00775209">
        <w:rPr>
          <w:b/>
          <w:bCs/>
          <w:lang w:val="fr-FR"/>
        </w:rPr>
        <w:t>Mots clés</w:t>
      </w:r>
      <w:r>
        <w:rPr>
          <w:lang w:val="fr-FR"/>
        </w:rPr>
        <w:t> : Cancer du sein, barrières, opportunités, pré diagnostique, Bénin</w:t>
      </w:r>
    </w:p>
    <w:sectPr w:rsidR="00775209" w:rsidRPr="00775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2838" w14:textId="77777777" w:rsidR="000D6901" w:rsidRDefault="000D6901" w:rsidP="00F5766C">
      <w:pPr>
        <w:spacing w:after="0" w:line="240" w:lineRule="auto"/>
      </w:pPr>
      <w:r>
        <w:separator/>
      </w:r>
    </w:p>
  </w:endnote>
  <w:endnote w:type="continuationSeparator" w:id="0">
    <w:p w14:paraId="6A0BA986" w14:textId="77777777" w:rsidR="000D6901" w:rsidRDefault="000D6901" w:rsidP="00F5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DF8E" w14:textId="77777777" w:rsidR="000D6901" w:rsidRDefault="000D6901" w:rsidP="00F5766C">
      <w:pPr>
        <w:spacing w:after="0" w:line="240" w:lineRule="auto"/>
      </w:pPr>
      <w:r>
        <w:separator/>
      </w:r>
    </w:p>
  </w:footnote>
  <w:footnote w:type="continuationSeparator" w:id="0">
    <w:p w14:paraId="4ABBAF42" w14:textId="77777777" w:rsidR="000D6901" w:rsidRDefault="000D6901" w:rsidP="00F5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0"/>
    <w:multiLevelType w:val="hybridMultilevel"/>
    <w:tmpl w:val="E69CA45E"/>
    <w:lvl w:ilvl="0" w:tplc="5394C940">
      <w:start w:val="1"/>
      <w:numFmt w:val="bullet"/>
      <w:lvlText w:val="•"/>
      <w:lvlJc w:val="left"/>
      <w:pPr>
        <w:ind w:left="888"/>
      </w:pPr>
      <w:rPr>
        <w:rFonts w:ascii="Arial" w:eastAsia="Arial" w:hAnsi="Arial" w:cs="Arial"/>
        <w:b w:val="0"/>
        <w:i w:val="0"/>
        <w:color w:val="000000"/>
        <w:sz w:val="28"/>
        <w:szCs w:val="28"/>
        <w:u w:val="none" w:color="000000"/>
        <w:bdr w:val="none" w:sz="0" w:space="0" w:color="auto"/>
        <w:shd w:val="clear" w:color="auto" w:fill="auto"/>
        <w:vertAlign w:val="baseline"/>
      </w:rPr>
    </w:lvl>
    <w:lvl w:ilvl="1" w:tplc="375A057E">
      <w:start w:val="1"/>
      <w:numFmt w:val="bullet"/>
      <w:lvlText w:val="o"/>
      <w:lvlJc w:val="left"/>
      <w:pPr>
        <w:ind w:left="139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2" w:tplc="337EB2F6">
      <w:start w:val="1"/>
      <w:numFmt w:val="bullet"/>
      <w:lvlText w:val="▪"/>
      <w:lvlJc w:val="left"/>
      <w:pPr>
        <w:ind w:left="211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3" w:tplc="04CA378C">
      <w:start w:val="1"/>
      <w:numFmt w:val="bullet"/>
      <w:lvlText w:val="•"/>
      <w:lvlJc w:val="left"/>
      <w:pPr>
        <w:ind w:left="2835"/>
      </w:pPr>
      <w:rPr>
        <w:rFonts w:ascii="Arial" w:eastAsia="Arial" w:hAnsi="Arial" w:cs="Arial"/>
        <w:b w:val="0"/>
        <w:i w:val="0"/>
        <w:color w:val="000000"/>
        <w:sz w:val="28"/>
        <w:szCs w:val="28"/>
        <w:u w:val="none" w:color="000000"/>
        <w:bdr w:val="none" w:sz="0" w:space="0" w:color="auto"/>
        <w:shd w:val="clear" w:color="auto" w:fill="auto"/>
        <w:vertAlign w:val="baseline"/>
      </w:rPr>
    </w:lvl>
    <w:lvl w:ilvl="4" w:tplc="52BE988C">
      <w:start w:val="1"/>
      <w:numFmt w:val="bullet"/>
      <w:lvlText w:val="o"/>
      <w:lvlJc w:val="left"/>
      <w:pPr>
        <w:ind w:left="355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5" w:tplc="B7FA9B8A">
      <w:start w:val="1"/>
      <w:numFmt w:val="bullet"/>
      <w:lvlText w:val="▪"/>
      <w:lvlJc w:val="left"/>
      <w:pPr>
        <w:ind w:left="427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6" w:tplc="836C56CE">
      <w:start w:val="1"/>
      <w:numFmt w:val="bullet"/>
      <w:lvlText w:val="•"/>
      <w:lvlJc w:val="left"/>
      <w:pPr>
        <w:ind w:left="4995"/>
      </w:pPr>
      <w:rPr>
        <w:rFonts w:ascii="Arial" w:eastAsia="Arial" w:hAnsi="Arial" w:cs="Arial"/>
        <w:b w:val="0"/>
        <w:i w:val="0"/>
        <w:color w:val="000000"/>
        <w:sz w:val="28"/>
        <w:szCs w:val="28"/>
        <w:u w:val="none" w:color="000000"/>
        <w:bdr w:val="none" w:sz="0" w:space="0" w:color="auto"/>
        <w:shd w:val="clear" w:color="auto" w:fill="auto"/>
        <w:vertAlign w:val="baseline"/>
      </w:rPr>
    </w:lvl>
    <w:lvl w:ilvl="7" w:tplc="765C23BC">
      <w:start w:val="1"/>
      <w:numFmt w:val="bullet"/>
      <w:lvlText w:val="o"/>
      <w:lvlJc w:val="left"/>
      <w:pPr>
        <w:ind w:left="571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8" w:tplc="49024CA2">
      <w:start w:val="1"/>
      <w:numFmt w:val="bullet"/>
      <w:lvlText w:val="▪"/>
      <w:lvlJc w:val="left"/>
      <w:pPr>
        <w:ind w:left="6435"/>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abstractNum>
  <w:abstractNum w:abstractNumId="1" w15:restartNumberingAfterBreak="0">
    <w:nsid w:val="0DD67AAF"/>
    <w:multiLevelType w:val="multilevel"/>
    <w:tmpl w:val="DFF41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C1EA5"/>
    <w:multiLevelType w:val="hybridMultilevel"/>
    <w:tmpl w:val="98AC859C"/>
    <w:lvl w:ilvl="0" w:tplc="20000001">
      <w:start w:val="1"/>
      <w:numFmt w:val="bullet"/>
      <w:lvlText w:val=""/>
      <w:lvlJc w:val="left"/>
      <w:pPr>
        <w:ind w:left="917" w:hanging="360"/>
      </w:pPr>
      <w:rPr>
        <w:rFonts w:ascii="Symbol" w:hAnsi="Symbol" w:hint="default"/>
      </w:rPr>
    </w:lvl>
    <w:lvl w:ilvl="1" w:tplc="20000003" w:tentative="1">
      <w:start w:val="1"/>
      <w:numFmt w:val="bullet"/>
      <w:lvlText w:val="o"/>
      <w:lvlJc w:val="left"/>
      <w:pPr>
        <w:ind w:left="1637" w:hanging="360"/>
      </w:pPr>
      <w:rPr>
        <w:rFonts w:ascii="Courier New" w:hAnsi="Courier New" w:cs="Courier New" w:hint="default"/>
      </w:rPr>
    </w:lvl>
    <w:lvl w:ilvl="2" w:tplc="20000005" w:tentative="1">
      <w:start w:val="1"/>
      <w:numFmt w:val="bullet"/>
      <w:lvlText w:val=""/>
      <w:lvlJc w:val="left"/>
      <w:pPr>
        <w:ind w:left="2357" w:hanging="360"/>
      </w:pPr>
      <w:rPr>
        <w:rFonts w:ascii="Wingdings" w:hAnsi="Wingdings" w:hint="default"/>
      </w:rPr>
    </w:lvl>
    <w:lvl w:ilvl="3" w:tplc="20000001" w:tentative="1">
      <w:start w:val="1"/>
      <w:numFmt w:val="bullet"/>
      <w:lvlText w:val=""/>
      <w:lvlJc w:val="left"/>
      <w:pPr>
        <w:ind w:left="3077" w:hanging="360"/>
      </w:pPr>
      <w:rPr>
        <w:rFonts w:ascii="Symbol" w:hAnsi="Symbol" w:hint="default"/>
      </w:rPr>
    </w:lvl>
    <w:lvl w:ilvl="4" w:tplc="20000003" w:tentative="1">
      <w:start w:val="1"/>
      <w:numFmt w:val="bullet"/>
      <w:lvlText w:val="o"/>
      <w:lvlJc w:val="left"/>
      <w:pPr>
        <w:ind w:left="3797" w:hanging="360"/>
      </w:pPr>
      <w:rPr>
        <w:rFonts w:ascii="Courier New" w:hAnsi="Courier New" w:cs="Courier New" w:hint="default"/>
      </w:rPr>
    </w:lvl>
    <w:lvl w:ilvl="5" w:tplc="20000005" w:tentative="1">
      <w:start w:val="1"/>
      <w:numFmt w:val="bullet"/>
      <w:lvlText w:val=""/>
      <w:lvlJc w:val="left"/>
      <w:pPr>
        <w:ind w:left="4517" w:hanging="360"/>
      </w:pPr>
      <w:rPr>
        <w:rFonts w:ascii="Wingdings" w:hAnsi="Wingdings" w:hint="default"/>
      </w:rPr>
    </w:lvl>
    <w:lvl w:ilvl="6" w:tplc="20000001" w:tentative="1">
      <w:start w:val="1"/>
      <w:numFmt w:val="bullet"/>
      <w:lvlText w:val=""/>
      <w:lvlJc w:val="left"/>
      <w:pPr>
        <w:ind w:left="5237" w:hanging="360"/>
      </w:pPr>
      <w:rPr>
        <w:rFonts w:ascii="Symbol" w:hAnsi="Symbol" w:hint="default"/>
      </w:rPr>
    </w:lvl>
    <w:lvl w:ilvl="7" w:tplc="20000003" w:tentative="1">
      <w:start w:val="1"/>
      <w:numFmt w:val="bullet"/>
      <w:lvlText w:val="o"/>
      <w:lvlJc w:val="left"/>
      <w:pPr>
        <w:ind w:left="5957" w:hanging="360"/>
      </w:pPr>
      <w:rPr>
        <w:rFonts w:ascii="Courier New" w:hAnsi="Courier New" w:cs="Courier New" w:hint="default"/>
      </w:rPr>
    </w:lvl>
    <w:lvl w:ilvl="8" w:tplc="20000005" w:tentative="1">
      <w:start w:val="1"/>
      <w:numFmt w:val="bullet"/>
      <w:lvlText w:val=""/>
      <w:lvlJc w:val="left"/>
      <w:pPr>
        <w:ind w:left="6677" w:hanging="360"/>
      </w:pPr>
      <w:rPr>
        <w:rFonts w:ascii="Wingdings" w:hAnsi="Wingdings" w:hint="default"/>
      </w:rPr>
    </w:lvl>
  </w:abstractNum>
  <w:abstractNum w:abstractNumId="3" w15:restartNumberingAfterBreak="0">
    <w:nsid w:val="21771CD4"/>
    <w:multiLevelType w:val="hybridMultilevel"/>
    <w:tmpl w:val="4DC28B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EB74D2B"/>
    <w:multiLevelType w:val="multilevel"/>
    <w:tmpl w:val="3F0C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829D3"/>
    <w:multiLevelType w:val="hybridMultilevel"/>
    <w:tmpl w:val="9028F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A69131C"/>
    <w:multiLevelType w:val="hybridMultilevel"/>
    <w:tmpl w:val="9E54A912"/>
    <w:lvl w:ilvl="0" w:tplc="337EB2F6">
      <w:start w:val="1"/>
      <w:numFmt w:val="bullet"/>
      <w:lvlText w:val="▪"/>
      <w:lvlJc w:val="left"/>
      <w:pPr>
        <w:ind w:left="1608" w:hanging="360"/>
      </w:pPr>
      <w:rPr>
        <w:rFonts w:ascii="Segoe UI Symbol" w:eastAsia="Segoe UI Symbol" w:hAnsi="Segoe UI Symbol" w:cs="Segoe UI Symbol"/>
        <w:b w:val="0"/>
        <w:i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2328" w:hanging="360"/>
      </w:pPr>
      <w:rPr>
        <w:rFonts w:ascii="Courier New" w:hAnsi="Courier New" w:cs="Courier New" w:hint="default"/>
      </w:rPr>
    </w:lvl>
    <w:lvl w:ilvl="2" w:tplc="20000005" w:tentative="1">
      <w:start w:val="1"/>
      <w:numFmt w:val="bullet"/>
      <w:lvlText w:val=""/>
      <w:lvlJc w:val="left"/>
      <w:pPr>
        <w:ind w:left="3048" w:hanging="360"/>
      </w:pPr>
      <w:rPr>
        <w:rFonts w:ascii="Wingdings" w:hAnsi="Wingdings" w:hint="default"/>
      </w:rPr>
    </w:lvl>
    <w:lvl w:ilvl="3" w:tplc="20000001" w:tentative="1">
      <w:start w:val="1"/>
      <w:numFmt w:val="bullet"/>
      <w:lvlText w:val=""/>
      <w:lvlJc w:val="left"/>
      <w:pPr>
        <w:ind w:left="3768" w:hanging="360"/>
      </w:pPr>
      <w:rPr>
        <w:rFonts w:ascii="Symbol" w:hAnsi="Symbol" w:hint="default"/>
      </w:rPr>
    </w:lvl>
    <w:lvl w:ilvl="4" w:tplc="20000003" w:tentative="1">
      <w:start w:val="1"/>
      <w:numFmt w:val="bullet"/>
      <w:lvlText w:val="o"/>
      <w:lvlJc w:val="left"/>
      <w:pPr>
        <w:ind w:left="4488" w:hanging="360"/>
      </w:pPr>
      <w:rPr>
        <w:rFonts w:ascii="Courier New" w:hAnsi="Courier New" w:cs="Courier New" w:hint="default"/>
      </w:rPr>
    </w:lvl>
    <w:lvl w:ilvl="5" w:tplc="20000005" w:tentative="1">
      <w:start w:val="1"/>
      <w:numFmt w:val="bullet"/>
      <w:lvlText w:val=""/>
      <w:lvlJc w:val="left"/>
      <w:pPr>
        <w:ind w:left="5208" w:hanging="360"/>
      </w:pPr>
      <w:rPr>
        <w:rFonts w:ascii="Wingdings" w:hAnsi="Wingdings" w:hint="default"/>
      </w:rPr>
    </w:lvl>
    <w:lvl w:ilvl="6" w:tplc="20000001" w:tentative="1">
      <w:start w:val="1"/>
      <w:numFmt w:val="bullet"/>
      <w:lvlText w:val=""/>
      <w:lvlJc w:val="left"/>
      <w:pPr>
        <w:ind w:left="5928" w:hanging="360"/>
      </w:pPr>
      <w:rPr>
        <w:rFonts w:ascii="Symbol" w:hAnsi="Symbol" w:hint="default"/>
      </w:rPr>
    </w:lvl>
    <w:lvl w:ilvl="7" w:tplc="20000003" w:tentative="1">
      <w:start w:val="1"/>
      <w:numFmt w:val="bullet"/>
      <w:lvlText w:val="o"/>
      <w:lvlJc w:val="left"/>
      <w:pPr>
        <w:ind w:left="6648" w:hanging="360"/>
      </w:pPr>
      <w:rPr>
        <w:rFonts w:ascii="Courier New" w:hAnsi="Courier New" w:cs="Courier New" w:hint="default"/>
      </w:rPr>
    </w:lvl>
    <w:lvl w:ilvl="8" w:tplc="20000005" w:tentative="1">
      <w:start w:val="1"/>
      <w:numFmt w:val="bullet"/>
      <w:lvlText w:val=""/>
      <w:lvlJc w:val="left"/>
      <w:pPr>
        <w:ind w:left="736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5C"/>
    <w:rsid w:val="000374F1"/>
    <w:rsid w:val="000D6901"/>
    <w:rsid w:val="00132CA4"/>
    <w:rsid w:val="002273C9"/>
    <w:rsid w:val="002D131C"/>
    <w:rsid w:val="002E5370"/>
    <w:rsid w:val="00352E63"/>
    <w:rsid w:val="0037555C"/>
    <w:rsid w:val="00404133"/>
    <w:rsid w:val="004C7912"/>
    <w:rsid w:val="00755991"/>
    <w:rsid w:val="00775209"/>
    <w:rsid w:val="00794673"/>
    <w:rsid w:val="00854AB9"/>
    <w:rsid w:val="00882E73"/>
    <w:rsid w:val="008A7D93"/>
    <w:rsid w:val="00A576EC"/>
    <w:rsid w:val="00B36271"/>
    <w:rsid w:val="00D041BE"/>
    <w:rsid w:val="00D3754B"/>
    <w:rsid w:val="00F2452C"/>
    <w:rsid w:val="00F5766C"/>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C119"/>
  <w15:chartTrackingRefBased/>
  <w15:docId w15:val="{3E45CB9B-E482-486E-BCE3-F59D7FDF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4AB9"/>
    <w:pPr>
      <w:spacing w:after="0" w:line="240" w:lineRule="auto"/>
      <w:ind w:left="10" w:right="4" w:hanging="10"/>
      <w:jc w:val="both"/>
    </w:pPr>
    <w:rPr>
      <w:rFonts w:ascii="Times New Roman" w:eastAsia="Times New Roman" w:hAnsi="Times New Roman" w:cs="Times New Roman"/>
      <w:color w:val="000000"/>
      <w:sz w:val="28"/>
      <w:lang w:eastAsia="fr-BJ"/>
    </w:rPr>
  </w:style>
  <w:style w:type="paragraph" w:styleId="Paragraphedeliste">
    <w:name w:val="List Paragraph"/>
    <w:basedOn w:val="Normal"/>
    <w:link w:val="ParagraphedelisteCar"/>
    <w:uiPriority w:val="1"/>
    <w:qFormat/>
    <w:rsid w:val="00854AB9"/>
    <w:pPr>
      <w:ind w:left="720"/>
      <w:contextualSpacing/>
    </w:pPr>
  </w:style>
  <w:style w:type="character" w:customStyle="1" w:styleId="ParagraphedelisteCar">
    <w:name w:val="Paragraphe de liste Car"/>
    <w:link w:val="Paragraphedeliste"/>
    <w:uiPriority w:val="1"/>
    <w:rsid w:val="00882E73"/>
  </w:style>
  <w:style w:type="paragraph" w:styleId="En-tte">
    <w:name w:val="header"/>
    <w:basedOn w:val="Normal"/>
    <w:link w:val="En-tteCar"/>
    <w:uiPriority w:val="99"/>
    <w:unhideWhenUsed/>
    <w:rsid w:val="00F5766C"/>
    <w:pPr>
      <w:tabs>
        <w:tab w:val="center" w:pos="4536"/>
        <w:tab w:val="right" w:pos="9072"/>
      </w:tabs>
      <w:spacing w:after="0" w:line="240" w:lineRule="auto"/>
    </w:pPr>
  </w:style>
  <w:style w:type="character" w:customStyle="1" w:styleId="En-tteCar">
    <w:name w:val="En-tête Car"/>
    <w:basedOn w:val="Policepardfaut"/>
    <w:link w:val="En-tte"/>
    <w:uiPriority w:val="99"/>
    <w:rsid w:val="00F5766C"/>
  </w:style>
  <w:style w:type="paragraph" w:styleId="Pieddepage">
    <w:name w:val="footer"/>
    <w:basedOn w:val="Normal"/>
    <w:link w:val="PieddepageCar"/>
    <w:uiPriority w:val="99"/>
    <w:unhideWhenUsed/>
    <w:rsid w:val="00F576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436</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2025-06-23T13:49:00Z</dcterms:created>
  <dcterms:modified xsi:type="dcterms:W3CDTF">2025-06-24T22:18:00Z</dcterms:modified>
</cp:coreProperties>
</file>