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8807" w14:textId="5E96DD27" w:rsidR="00F82EB0" w:rsidRDefault="00321D00" w:rsidP="00807BC3">
      <w:pPr>
        <w:spacing w:after="0"/>
        <w:jc w:val="center"/>
        <w:rPr>
          <w:rFonts w:ascii="Arial" w:eastAsia="Times New Roman" w:hAnsi="Arial" w:cs="Arial"/>
          <w:b/>
          <w:bCs/>
          <w:kern w:val="2"/>
          <w:szCs w:val="20"/>
        </w:rPr>
      </w:pPr>
      <w:r w:rsidRPr="00230EA2">
        <w:rPr>
          <w:rFonts w:ascii="Arial" w:eastAsia="Times New Roman" w:hAnsi="Arial" w:cs="Arial"/>
          <w:b/>
          <w:bCs/>
          <w:kern w:val="2"/>
          <w:szCs w:val="20"/>
        </w:rPr>
        <w:t>La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 xml:space="preserve"> </w:t>
      </w:r>
      <w:r w:rsidR="00DF5BD5" w:rsidRPr="00230EA2">
        <w:rPr>
          <w:rFonts w:ascii="Arial" w:eastAsia="Times New Roman" w:hAnsi="Arial" w:cs="Arial"/>
          <w:b/>
          <w:bCs/>
          <w:kern w:val="2"/>
          <w:szCs w:val="20"/>
        </w:rPr>
        <w:t>s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 xml:space="preserve">anté </w:t>
      </w:r>
      <w:r w:rsidR="00DF5BD5" w:rsidRPr="00230EA2">
        <w:rPr>
          <w:rFonts w:ascii="Arial" w:eastAsia="Times New Roman" w:hAnsi="Arial" w:cs="Arial"/>
          <w:b/>
          <w:bCs/>
          <w:kern w:val="2"/>
          <w:szCs w:val="20"/>
        </w:rPr>
        <w:t>m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 xml:space="preserve">entale dans les </w:t>
      </w:r>
      <w:r w:rsidR="00DF5BD5" w:rsidRPr="00230EA2">
        <w:rPr>
          <w:rFonts w:ascii="Arial" w:eastAsia="Times New Roman" w:hAnsi="Arial" w:cs="Arial"/>
          <w:b/>
          <w:bCs/>
          <w:kern w:val="2"/>
          <w:szCs w:val="20"/>
        </w:rPr>
        <w:t>c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 xml:space="preserve">ommunautés </w:t>
      </w:r>
      <w:r w:rsidR="00DF5BD5" w:rsidRPr="00230EA2">
        <w:rPr>
          <w:rFonts w:ascii="Arial" w:eastAsia="Times New Roman" w:hAnsi="Arial" w:cs="Arial"/>
          <w:b/>
          <w:bCs/>
          <w:kern w:val="2"/>
          <w:szCs w:val="20"/>
        </w:rPr>
        <w:t>a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 xml:space="preserve">ffectées par le </w:t>
      </w:r>
      <w:r w:rsidR="00DF5BD5" w:rsidRPr="00230EA2">
        <w:rPr>
          <w:rFonts w:ascii="Arial" w:eastAsia="Times New Roman" w:hAnsi="Arial" w:cs="Arial"/>
          <w:b/>
          <w:bCs/>
          <w:kern w:val="2"/>
          <w:szCs w:val="20"/>
        </w:rPr>
        <w:t>c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>onflit</w:t>
      </w:r>
      <w:r w:rsidR="00F82EB0" w:rsidRPr="00230EA2">
        <w:rPr>
          <w:rFonts w:ascii="Arial" w:eastAsiaTheme="majorEastAsia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  <w:r w:rsidR="00F82EB0" w:rsidRPr="00230EA2">
        <w:rPr>
          <w:rFonts w:ascii="Arial" w:eastAsia="Times New Roman" w:hAnsi="Arial" w:cs="Arial"/>
          <w:b/>
          <w:bCs/>
          <w:kern w:val="2"/>
          <w:szCs w:val="20"/>
        </w:rPr>
        <w:t>en République Centrafricaine</w:t>
      </w:r>
    </w:p>
    <w:p w14:paraId="52F3D330" w14:textId="77777777" w:rsidR="00407946" w:rsidRPr="00407946" w:rsidRDefault="00407946" w:rsidP="00807BC3">
      <w:pPr>
        <w:spacing w:after="0"/>
        <w:jc w:val="center"/>
        <w:rPr>
          <w:rFonts w:ascii="Arial" w:eastAsia="Times New Roman" w:hAnsi="Arial" w:cs="Arial"/>
          <w:b/>
          <w:bCs/>
          <w:kern w:val="2"/>
          <w:sz w:val="18"/>
          <w:szCs w:val="16"/>
        </w:rPr>
      </w:pPr>
    </w:p>
    <w:p w14:paraId="7BAC5F16" w14:textId="67672A4B" w:rsidR="00F82EB0" w:rsidRDefault="007A3127" w:rsidP="00807BC3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230EA2">
        <w:rPr>
          <w:rFonts w:ascii="Arial" w:hAnsi="Arial" w:cs="Arial"/>
          <w:iCs/>
          <w:u w:val="single"/>
        </w:rPr>
        <w:t>Rodrigue H Doyama-Woza</w:t>
      </w:r>
      <w:r w:rsidRPr="00230EA2">
        <w:rPr>
          <w:rFonts w:ascii="Arial" w:hAnsi="Arial" w:cs="Arial"/>
          <w:iCs/>
          <w:vertAlign w:val="superscript"/>
        </w:rPr>
        <w:t>1*</w:t>
      </w:r>
      <w:r w:rsidRPr="00230EA2">
        <w:rPr>
          <w:rFonts w:ascii="Arial" w:hAnsi="Arial" w:cs="Arial"/>
          <w:iCs/>
        </w:rPr>
        <w:t>, Christelle G Niamathé Lémotomo</w:t>
      </w:r>
      <w:r w:rsidRPr="00230EA2">
        <w:rPr>
          <w:rFonts w:ascii="Arial" w:hAnsi="Arial" w:cs="Arial"/>
          <w:iCs/>
          <w:vertAlign w:val="superscript"/>
        </w:rPr>
        <w:t>1</w:t>
      </w:r>
      <w:r w:rsidRPr="00230EA2">
        <w:rPr>
          <w:rFonts w:ascii="Arial" w:hAnsi="Arial" w:cs="Arial"/>
          <w:iCs/>
        </w:rPr>
        <w:t xml:space="preserve">, </w:t>
      </w:r>
      <w:r w:rsidR="00F37BF6">
        <w:rPr>
          <w:rFonts w:ascii="Arial" w:hAnsi="Arial" w:cs="Arial"/>
          <w:iCs/>
        </w:rPr>
        <w:t>Germain Piamalé</w:t>
      </w:r>
      <w:r w:rsidR="00F37BF6" w:rsidRPr="00F37BF6">
        <w:rPr>
          <w:rFonts w:ascii="Arial" w:hAnsi="Arial" w:cs="Arial"/>
          <w:iCs/>
          <w:vertAlign w:val="superscript"/>
        </w:rPr>
        <w:t>1,2</w:t>
      </w:r>
      <w:r w:rsidR="00F37BF6">
        <w:rPr>
          <w:rFonts w:ascii="Arial" w:hAnsi="Arial" w:cs="Arial"/>
          <w:iCs/>
        </w:rPr>
        <w:t xml:space="preserve">, </w:t>
      </w:r>
      <w:r w:rsidR="00F82EB0" w:rsidRPr="00230EA2">
        <w:rPr>
          <w:rFonts w:ascii="Arial" w:hAnsi="Arial" w:cs="Arial"/>
          <w:iCs/>
        </w:rPr>
        <w:t>Jean de Dieu Longo</w:t>
      </w:r>
      <w:r w:rsidR="00F82EB0" w:rsidRPr="00230EA2">
        <w:rPr>
          <w:rFonts w:ascii="Arial" w:hAnsi="Arial" w:cs="Arial"/>
          <w:iCs/>
          <w:vertAlign w:val="superscript"/>
        </w:rPr>
        <w:t>1,2</w:t>
      </w:r>
      <w:r w:rsidRPr="00230EA2">
        <w:rPr>
          <w:rFonts w:ascii="Arial" w:hAnsi="Arial" w:cs="Arial"/>
          <w:iCs/>
          <w:vertAlign w:val="subscript"/>
        </w:rPr>
        <w:t xml:space="preserve">, </w:t>
      </w:r>
      <w:r w:rsidRPr="00230EA2">
        <w:rPr>
          <w:rFonts w:ascii="Arial" w:hAnsi="Arial" w:cs="Arial"/>
          <w:iCs/>
        </w:rPr>
        <w:t>Marcel Mb</w:t>
      </w:r>
      <w:r w:rsidR="009A59B7">
        <w:rPr>
          <w:rFonts w:ascii="Arial" w:hAnsi="Arial" w:cs="Arial"/>
          <w:iCs/>
        </w:rPr>
        <w:t>é</w:t>
      </w:r>
      <w:r w:rsidRPr="00230EA2">
        <w:rPr>
          <w:rFonts w:ascii="Arial" w:hAnsi="Arial" w:cs="Arial"/>
          <w:iCs/>
        </w:rPr>
        <w:t>ko Simaleko</w:t>
      </w:r>
      <w:r w:rsidRPr="00230EA2">
        <w:rPr>
          <w:rFonts w:ascii="Arial" w:hAnsi="Arial" w:cs="Arial"/>
          <w:iCs/>
          <w:vertAlign w:val="superscript"/>
        </w:rPr>
        <w:t>1</w:t>
      </w:r>
      <w:r w:rsidR="00F82EB0" w:rsidRPr="00230EA2">
        <w:rPr>
          <w:rFonts w:ascii="Arial" w:hAnsi="Arial" w:cs="Arial"/>
          <w:iCs/>
          <w:vertAlign w:val="subscript"/>
        </w:rPr>
        <w:t xml:space="preserve">, </w:t>
      </w:r>
      <w:r w:rsidRPr="00230EA2">
        <w:rPr>
          <w:rFonts w:ascii="Arial" w:hAnsi="Arial" w:cs="Arial"/>
        </w:rPr>
        <w:t>G</w:t>
      </w:r>
      <w:r w:rsidR="00840E40">
        <w:rPr>
          <w:rFonts w:ascii="Arial" w:hAnsi="Arial" w:cs="Arial"/>
        </w:rPr>
        <w:t>é</w:t>
      </w:r>
      <w:r w:rsidRPr="00230EA2">
        <w:rPr>
          <w:rFonts w:ascii="Arial" w:hAnsi="Arial" w:cs="Arial"/>
        </w:rPr>
        <w:t>rard Gr</w:t>
      </w:r>
      <w:r w:rsidR="00840E40">
        <w:rPr>
          <w:rFonts w:ascii="Arial" w:hAnsi="Arial" w:cs="Arial"/>
        </w:rPr>
        <w:t>é</w:t>
      </w:r>
      <w:r w:rsidRPr="00230EA2">
        <w:rPr>
          <w:rFonts w:ascii="Arial" w:hAnsi="Arial" w:cs="Arial"/>
        </w:rPr>
        <w:t>senguet</w:t>
      </w:r>
      <w:r w:rsidRPr="00230EA2">
        <w:rPr>
          <w:rFonts w:ascii="Arial" w:hAnsi="Arial" w:cs="Arial"/>
          <w:vertAlign w:val="superscript"/>
        </w:rPr>
        <w:t>1,2</w:t>
      </w:r>
      <w:r w:rsidR="00F82EB0" w:rsidRPr="00230EA2">
        <w:rPr>
          <w:rFonts w:ascii="Arial" w:hAnsi="Arial" w:cs="Arial"/>
        </w:rPr>
        <w:t xml:space="preserve"> </w:t>
      </w:r>
    </w:p>
    <w:p w14:paraId="0CEC7C3F" w14:textId="77777777" w:rsidR="00807BC3" w:rsidRPr="00807BC3" w:rsidRDefault="00807BC3" w:rsidP="00807BC3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ABE0CB5" w14:textId="3D47D8C6" w:rsidR="00F82EB0" w:rsidRPr="00230EA2" w:rsidRDefault="00F82EB0" w:rsidP="00F82EB0">
      <w:pPr>
        <w:spacing w:after="0" w:line="240" w:lineRule="auto"/>
        <w:jc w:val="center"/>
        <w:rPr>
          <w:rFonts w:ascii="Arial" w:hAnsi="Arial" w:cs="Arial"/>
          <w:vertAlign w:val="superscript"/>
          <w:lang w:eastAsia="fr-FR"/>
        </w:rPr>
      </w:pPr>
      <w:r w:rsidRPr="00230EA2">
        <w:rPr>
          <w:rFonts w:ascii="Arial" w:hAnsi="Arial" w:cs="Arial"/>
          <w:vertAlign w:val="superscript"/>
          <w:lang w:eastAsia="fr-FR"/>
        </w:rPr>
        <w:t xml:space="preserve">1 </w:t>
      </w:r>
      <w:r w:rsidR="00D30373" w:rsidRPr="00230EA2">
        <w:rPr>
          <w:rFonts w:ascii="Arial" w:hAnsi="Arial" w:cs="Arial"/>
          <w:lang w:eastAsia="fr-FR"/>
        </w:rPr>
        <w:t xml:space="preserve">Université de Bangui, </w:t>
      </w:r>
      <w:r w:rsidR="007A3127" w:rsidRPr="00230EA2">
        <w:rPr>
          <w:rFonts w:ascii="Arial" w:hAnsi="Arial" w:cs="Arial"/>
          <w:lang w:eastAsia="fr-FR"/>
        </w:rPr>
        <w:t xml:space="preserve">Faculté des Sciences de la Santé, </w:t>
      </w:r>
      <w:r w:rsidR="00D30373" w:rsidRPr="00230EA2">
        <w:rPr>
          <w:rFonts w:ascii="Arial" w:hAnsi="Arial" w:cs="Arial"/>
          <w:lang w:eastAsia="fr-FR"/>
        </w:rPr>
        <w:t xml:space="preserve">Département de Santé Publique, Bangui, </w:t>
      </w:r>
      <w:r w:rsidRPr="00230EA2">
        <w:rPr>
          <w:rFonts w:ascii="Arial" w:hAnsi="Arial" w:cs="Arial"/>
          <w:lang w:eastAsia="fr-FR"/>
        </w:rPr>
        <w:t xml:space="preserve">Central African </w:t>
      </w:r>
      <w:r w:rsidR="007A3127" w:rsidRPr="00230EA2">
        <w:rPr>
          <w:rFonts w:ascii="Arial" w:hAnsi="Arial" w:cs="Arial"/>
          <w:lang w:eastAsia="fr-FR"/>
        </w:rPr>
        <w:t>Republic ;</w:t>
      </w:r>
    </w:p>
    <w:p w14:paraId="47FA5D3C" w14:textId="47C7BB42" w:rsidR="00F82EB0" w:rsidRPr="00230EA2" w:rsidRDefault="00F82EB0" w:rsidP="00F82EB0">
      <w:pPr>
        <w:spacing w:after="0" w:line="240" w:lineRule="auto"/>
        <w:jc w:val="center"/>
        <w:rPr>
          <w:rFonts w:ascii="Arial" w:hAnsi="Arial" w:cs="Arial"/>
          <w:lang w:eastAsia="fr-FR"/>
        </w:rPr>
      </w:pPr>
      <w:r w:rsidRPr="00230EA2">
        <w:rPr>
          <w:rFonts w:ascii="Arial" w:hAnsi="Arial" w:cs="Arial"/>
          <w:vertAlign w:val="superscript"/>
          <w:lang w:eastAsia="fr-FR"/>
        </w:rPr>
        <w:t xml:space="preserve">2 </w:t>
      </w:r>
      <w:r w:rsidR="00D30373" w:rsidRPr="00230EA2">
        <w:rPr>
          <w:rFonts w:ascii="Arial" w:hAnsi="Arial" w:cs="Arial"/>
          <w:lang w:eastAsia="fr-FR"/>
        </w:rPr>
        <w:t>Université de Bangui, E</w:t>
      </w:r>
      <w:r w:rsidRPr="00230EA2">
        <w:rPr>
          <w:rFonts w:ascii="Arial" w:hAnsi="Arial" w:cs="Arial"/>
          <w:lang w:eastAsia="fr-FR"/>
        </w:rPr>
        <w:t>cole Doctorale des Sciences Humaines et Vétérinaires,</w:t>
      </w:r>
      <w:r w:rsidR="00D30373" w:rsidRPr="00230EA2">
        <w:rPr>
          <w:rFonts w:ascii="Arial" w:hAnsi="Arial" w:cs="Arial"/>
          <w:lang w:eastAsia="fr-FR"/>
        </w:rPr>
        <w:t xml:space="preserve"> Bangui, </w:t>
      </w:r>
      <w:r w:rsidRPr="00230EA2">
        <w:rPr>
          <w:rFonts w:ascii="Arial" w:hAnsi="Arial" w:cs="Arial"/>
          <w:lang w:eastAsia="fr-FR"/>
        </w:rPr>
        <w:t xml:space="preserve"> </w:t>
      </w:r>
    </w:p>
    <w:p w14:paraId="6AD7ACB2" w14:textId="0B3C71D1" w:rsidR="00F82EB0" w:rsidRPr="00230EA2" w:rsidRDefault="00F82EB0" w:rsidP="00F82EB0">
      <w:pPr>
        <w:spacing w:after="0" w:line="240" w:lineRule="auto"/>
        <w:jc w:val="center"/>
        <w:rPr>
          <w:rFonts w:ascii="Arial" w:hAnsi="Arial" w:cs="Arial"/>
          <w:lang w:eastAsia="fr-FR"/>
        </w:rPr>
      </w:pPr>
      <w:r w:rsidRPr="00230EA2">
        <w:rPr>
          <w:rFonts w:ascii="Arial" w:hAnsi="Arial" w:cs="Arial"/>
          <w:lang w:eastAsia="fr-FR"/>
        </w:rPr>
        <w:t>Central African Republi</w:t>
      </w:r>
      <w:r w:rsidR="007A3127" w:rsidRPr="00230EA2">
        <w:rPr>
          <w:rFonts w:ascii="Arial" w:hAnsi="Arial" w:cs="Arial"/>
          <w:lang w:eastAsia="fr-FR"/>
        </w:rPr>
        <w:t>c ;</w:t>
      </w:r>
      <w:r w:rsidR="00534653">
        <w:rPr>
          <w:rFonts w:ascii="Arial" w:hAnsi="Arial" w:cs="Arial"/>
          <w:lang w:eastAsia="fr-FR"/>
        </w:rPr>
        <w:t xml:space="preserve"> </w:t>
      </w:r>
    </w:p>
    <w:p w14:paraId="41B1827F" w14:textId="77777777" w:rsidR="00CA0B3C" w:rsidRPr="00407946" w:rsidRDefault="00CA0B3C" w:rsidP="00F82EB0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53B33DE8" w14:textId="28E704D7" w:rsidR="009C3B7C" w:rsidRPr="00230EA2" w:rsidRDefault="009C3B7C" w:rsidP="00F82EB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30EA2">
        <w:rPr>
          <w:rFonts w:ascii="Arial" w:hAnsi="Arial" w:cs="Arial"/>
          <w:b/>
          <w:bCs/>
        </w:rPr>
        <w:t xml:space="preserve">*Auteur correspondant : </w:t>
      </w:r>
      <w:r w:rsidRPr="00230EA2">
        <w:rPr>
          <w:rFonts w:ascii="Arial" w:hAnsi="Arial" w:cs="Arial"/>
          <w:iCs/>
        </w:rPr>
        <w:t xml:space="preserve">Rodrigue H Doyama-Woza, </w:t>
      </w:r>
      <w:hyperlink r:id="rId6" w:history="1">
        <w:r w:rsidRPr="00230EA2">
          <w:rPr>
            <w:rStyle w:val="Lienhypertexte"/>
            <w:rFonts w:ascii="Arial" w:hAnsi="Arial" w:cs="Arial"/>
            <w:iCs/>
          </w:rPr>
          <w:t>doyama25@gmail.com</w:t>
        </w:r>
      </w:hyperlink>
      <w:r w:rsidRPr="00230EA2">
        <w:rPr>
          <w:rFonts w:ascii="Arial" w:hAnsi="Arial" w:cs="Arial"/>
          <w:iCs/>
        </w:rPr>
        <w:t xml:space="preserve"> </w:t>
      </w:r>
    </w:p>
    <w:p w14:paraId="6350C4F1" w14:textId="66F284D1" w:rsidR="00F82EB0" w:rsidRPr="00230EA2" w:rsidRDefault="003440CF" w:rsidP="00F82EB0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>Résum</w:t>
      </w:r>
      <w:r w:rsidR="007B6943">
        <w:rPr>
          <w:rFonts w:ascii="Arial" w:hAnsi="Arial" w:cs="Arial"/>
          <w:b/>
          <w:bCs/>
          <w:color w:val="000000" w:themeColor="text1"/>
        </w:rPr>
        <w:t>é</w:t>
      </w:r>
      <w:r w:rsidR="00F82EB0" w:rsidRPr="00230EA2">
        <w:rPr>
          <w:rFonts w:ascii="Arial" w:hAnsi="Arial" w:cs="Arial"/>
          <w:b/>
          <w:bCs/>
          <w:color w:val="000000" w:themeColor="text1"/>
        </w:rPr>
        <w:t> :</w:t>
      </w:r>
    </w:p>
    <w:p w14:paraId="75F7C695" w14:textId="77777777" w:rsidR="0023745C" w:rsidRPr="00230EA2" w:rsidRDefault="00F82EB0" w:rsidP="00F82EB0">
      <w:pPr>
        <w:spacing w:after="0" w:line="360" w:lineRule="auto"/>
        <w:jc w:val="both"/>
        <w:rPr>
          <w:rFonts w:ascii="Arial" w:eastAsiaTheme="majorEastAsia" w:hAnsi="Arial" w:cs="Arial"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 xml:space="preserve">Contexte : </w:t>
      </w:r>
      <w:r w:rsidRPr="00230EA2">
        <w:rPr>
          <w:rFonts w:ascii="Arial" w:eastAsiaTheme="majorEastAsia" w:hAnsi="Arial" w:cs="Arial"/>
          <w:color w:val="000000" w:themeColor="text1"/>
        </w:rPr>
        <w:t xml:space="preserve">La République Centrafricaine est confrontée à des crises politiques et militaires récurrentes ces vingt dernières années.  </w:t>
      </w:r>
    </w:p>
    <w:p w14:paraId="2CA02E17" w14:textId="137435B9" w:rsidR="00F82EB0" w:rsidRPr="00230EA2" w:rsidRDefault="0023745C" w:rsidP="00F82E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>Objectif</w:t>
      </w:r>
      <w:r w:rsidRPr="00230EA2">
        <w:rPr>
          <w:rFonts w:ascii="Arial" w:eastAsiaTheme="majorEastAsia" w:hAnsi="Arial" w:cs="Arial"/>
          <w:color w:val="000000" w:themeColor="text1"/>
        </w:rPr>
        <w:t xml:space="preserve"> : </w:t>
      </w:r>
      <w:r w:rsidR="009D0262">
        <w:rPr>
          <w:rFonts w:ascii="Arial" w:hAnsi="Arial" w:cs="Arial"/>
          <w:color w:val="000000" w:themeColor="text1"/>
        </w:rPr>
        <w:t>F</w:t>
      </w:r>
      <w:r w:rsidR="00F82EB0" w:rsidRPr="00230EA2">
        <w:rPr>
          <w:rFonts w:ascii="Arial" w:hAnsi="Arial" w:cs="Arial"/>
          <w:color w:val="000000" w:themeColor="text1"/>
        </w:rPr>
        <w:t xml:space="preserve">ournir des données empiriques sur l'étendue de la détresse psychologique et des traumatismes psychiques liés aux conflits, afin d’éclairer les programmes nationaux de santé.  </w:t>
      </w:r>
    </w:p>
    <w:p w14:paraId="1814E859" w14:textId="11535E47" w:rsidR="00F82EB0" w:rsidRPr="00230EA2" w:rsidRDefault="00F82EB0" w:rsidP="00F82E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>Méthod</w:t>
      </w:r>
      <w:r w:rsidR="004166F1">
        <w:rPr>
          <w:rFonts w:ascii="Arial" w:hAnsi="Arial" w:cs="Arial"/>
          <w:b/>
          <w:bCs/>
          <w:color w:val="000000" w:themeColor="text1"/>
        </w:rPr>
        <w:t>es</w:t>
      </w:r>
      <w:r w:rsidRPr="00230EA2">
        <w:rPr>
          <w:rFonts w:ascii="Arial" w:hAnsi="Arial" w:cs="Arial"/>
          <w:color w:val="000000" w:themeColor="text1"/>
        </w:rPr>
        <w:t xml:space="preserve"> : L’étude a adapté une approche méthodologique mixte, combinant un volet quantitatif à des entretiens semi-structurés de nature qualitative. Les données sur les troubles mentaux ont été collectées à l’aide du questionnaire d’auto-évaluation </w:t>
      </w:r>
      <w:r w:rsidRPr="00230EA2">
        <w:rPr>
          <w:rFonts w:ascii="Arial" w:hAnsi="Arial" w:cs="Arial"/>
          <w:i/>
          <w:color w:val="000000" w:themeColor="text1"/>
        </w:rPr>
        <w:t>« Self-</w:t>
      </w:r>
      <w:proofErr w:type="spellStart"/>
      <w:r w:rsidRPr="00230EA2">
        <w:rPr>
          <w:rFonts w:ascii="Arial" w:hAnsi="Arial" w:cs="Arial"/>
          <w:i/>
          <w:color w:val="000000" w:themeColor="text1"/>
        </w:rPr>
        <w:t>Reporting</w:t>
      </w:r>
      <w:proofErr w:type="spellEnd"/>
      <w:r w:rsidRPr="00230EA2">
        <w:rPr>
          <w:rFonts w:ascii="Arial" w:hAnsi="Arial" w:cs="Arial"/>
          <w:i/>
          <w:color w:val="000000" w:themeColor="text1"/>
        </w:rPr>
        <w:t xml:space="preserve"> Questionnaire-20 » </w:t>
      </w:r>
      <w:r w:rsidRPr="00230EA2">
        <w:rPr>
          <w:rFonts w:ascii="Arial" w:hAnsi="Arial" w:cs="Arial"/>
          <w:color w:val="000000" w:themeColor="text1"/>
        </w:rPr>
        <w:t>(SRQ-20)</w:t>
      </w:r>
      <w:r w:rsidRPr="00230EA2">
        <w:rPr>
          <w:rFonts w:ascii="Arial" w:hAnsi="Arial" w:cs="Arial"/>
          <w:i/>
          <w:color w:val="000000" w:themeColor="text1"/>
        </w:rPr>
        <w:t>,</w:t>
      </w:r>
      <w:r w:rsidRPr="00230EA2">
        <w:rPr>
          <w:rFonts w:ascii="Arial" w:hAnsi="Arial" w:cs="Arial"/>
          <w:color w:val="000000" w:themeColor="text1"/>
        </w:rPr>
        <w:t xml:space="preserve"> indiqu</w:t>
      </w:r>
      <w:r w:rsidR="0089466B" w:rsidRPr="00230EA2">
        <w:rPr>
          <w:rFonts w:ascii="Arial" w:hAnsi="Arial" w:cs="Arial"/>
          <w:color w:val="000000" w:themeColor="text1"/>
        </w:rPr>
        <w:t>é</w:t>
      </w:r>
      <w:r w:rsidRPr="00230EA2">
        <w:rPr>
          <w:rFonts w:ascii="Arial" w:hAnsi="Arial" w:cs="Arial"/>
          <w:color w:val="000000" w:themeColor="text1"/>
        </w:rPr>
        <w:t xml:space="preserve"> pour le dépistage des troubles mentaux courants. Une analyse descriptive a </w:t>
      </w:r>
      <w:r w:rsidR="0089466B" w:rsidRPr="00230EA2">
        <w:rPr>
          <w:rFonts w:ascii="Arial" w:hAnsi="Arial" w:cs="Arial"/>
          <w:color w:val="000000" w:themeColor="text1"/>
        </w:rPr>
        <w:t xml:space="preserve">permis </w:t>
      </w:r>
      <w:r w:rsidRPr="00230EA2">
        <w:rPr>
          <w:rFonts w:ascii="Arial" w:hAnsi="Arial" w:cs="Arial"/>
          <w:color w:val="000000" w:themeColor="text1"/>
        </w:rPr>
        <w:t>de décrire les caractéristiques sociodémographiques et cliniques de la population étudiée. Une</w:t>
      </w:r>
      <w:r w:rsidR="00EC10D8" w:rsidRPr="00230EA2">
        <w:rPr>
          <w:rFonts w:ascii="Arial" w:hAnsi="Arial" w:cs="Arial"/>
          <w:color w:val="000000" w:themeColor="text1"/>
        </w:rPr>
        <w:t xml:space="preserve"> </w:t>
      </w:r>
      <w:r w:rsidRPr="00230EA2">
        <w:rPr>
          <w:rFonts w:ascii="Arial" w:hAnsi="Arial" w:cs="Arial"/>
          <w:color w:val="000000" w:themeColor="text1"/>
        </w:rPr>
        <w:t>régression logistique multivariée a été utilisée pour déterminer les facteurs associés aux troubles mentaux avec p&lt;0,05</w:t>
      </w:r>
      <w:r w:rsidR="0089466B" w:rsidRPr="00230EA2">
        <w:rPr>
          <w:rFonts w:ascii="Arial" w:hAnsi="Arial" w:cs="Arial"/>
          <w:color w:val="000000" w:themeColor="text1"/>
        </w:rPr>
        <w:t xml:space="preserve">. </w:t>
      </w:r>
      <w:bookmarkStart w:id="0" w:name="_Hlk156630242"/>
      <w:r w:rsidRPr="00230EA2">
        <w:rPr>
          <w:rFonts w:ascii="Arial" w:hAnsi="Arial" w:cs="Arial"/>
          <w:color w:val="000000" w:themeColor="text1"/>
        </w:rPr>
        <w:t xml:space="preserve"> </w:t>
      </w:r>
    </w:p>
    <w:p w14:paraId="75225673" w14:textId="3E66B820" w:rsidR="00F82EB0" w:rsidRPr="00230EA2" w:rsidRDefault="003C28FA" w:rsidP="00F82EB0">
      <w:pPr>
        <w:spacing w:after="0" w:line="360" w:lineRule="auto"/>
        <w:jc w:val="both"/>
        <w:rPr>
          <w:rFonts w:ascii="Arial" w:hAnsi="Arial" w:cs="Arial"/>
          <w:color w:val="000000" w:themeColor="text1"/>
          <w:szCs w:val="26"/>
        </w:rPr>
      </w:pPr>
      <w:r w:rsidRPr="00230EA2">
        <w:rPr>
          <w:rFonts w:ascii="Arial" w:hAnsi="Arial" w:cs="Arial"/>
          <w:b/>
          <w:bCs/>
          <w:color w:val="000000" w:themeColor="text1"/>
        </w:rPr>
        <w:t>Résultats</w:t>
      </w:r>
      <w:r w:rsidRPr="00230EA2">
        <w:rPr>
          <w:rFonts w:ascii="Arial" w:hAnsi="Arial" w:cs="Arial"/>
          <w:color w:val="000000" w:themeColor="text1"/>
        </w:rPr>
        <w:t xml:space="preserve"> :</w:t>
      </w:r>
      <w:r w:rsidR="00F82EB0" w:rsidRPr="00230EA2">
        <w:rPr>
          <w:rFonts w:ascii="Arial" w:hAnsi="Arial" w:cs="Arial"/>
          <w:color w:val="000000" w:themeColor="text1"/>
        </w:rPr>
        <w:t xml:space="preserve"> L’enquête était menée auprès de 721 personnes dans les ménages. </w:t>
      </w:r>
      <w:r w:rsidR="00F82EB0" w:rsidRPr="00230EA2">
        <w:rPr>
          <w:rFonts w:ascii="Arial" w:hAnsi="Arial" w:cs="Arial"/>
          <w:color w:val="000000" w:themeColor="text1"/>
          <w:szCs w:val="26"/>
        </w:rPr>
        <w:t xml:space="preserve">La prévalence de trouble mental était estimée à 59%. L’état de stress post traumatique et la dépression constituaient les principaux problèmes de santé mentale identifiée. </w:t>
      </w:r>
      <w:r w:rsidR="00F82EB0" w:rsidRPr="00230EA2">
        <w:rPr>
          <w:rFonts w:ascii="Arial" w:hAnsi="Arial" w:cs="Arial"/>
          <w:color w:val="000000" w:themeColor="text1"/>
        </w:rPr>
        <w:t xml:space="preserve">Seules, 8,7% des participants ayant présenté un trouble mental probable ont sollicité des services de santé mentale. </w:t>
      </w:r>
      <w:r w:rsidR="00F82EB0" w:rsidRPr="00230EA2">
        <w:rPr>
          <w:rFonts w:ascii="Arial" w:hAnsi="Arial" w:cs="Arial"/>
          <w:color w:val="000000" w:themeColor="text1"/>
          <w:szCs w:val="26"/>
        </w:rPr>
        <w:t>Les facteurs de risque associés à des troubles mentaux identifiés étaient : le fait de subir une violence physique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>=1,69 [1,08 - 2,64]), le sexe masculin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 xml:space="preserve">=1,64 [1,14 - 2,37]), la consommation de substances </w:t>
      </w:r>
      <w:r w:rsidR="00EC10D8" w:rsidRPr="00230EA2">
        <w:rPr>
          <w:rFonts w:ascii="Arial" w:hAnsi="Arial" w:cs="Arial"/>
          <w:color w:val="000000" w:themeColor="text1"/>
          <w:szCs w:val="26"/>
        </w:rPr>
        <w:t>psychoactives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>=1,94 [1,27 - 2,99]), l’âge &gt; 45 ans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>=2,7 [1,61 - 4,56]), l’absence d’activité de revenus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>=2,68 [1,11 - 6,65]) et les paysans agriculteurs (</w:t>
      </w:r>
      <w:proofErr w:type="spellStart"/>
      <w:r w:rsidR="00F82EB0" w:rsidRPr="00230EA2">
        <w:rPr>
          <w:rFonts w:ascii="Arial" w:hAnsi="Arial" w:cs="Arial"/>
          <w:color w:val="000000" w:themeColor="text1"/>
          <w:szCs w:val="26"/>
        </w:rPr>
        <w:t>ORa</w:t>
      </w:r>
      <w:proofErr w:type="spellEnd"/>
      <w:r w:rsidR="00F82EB0" w:rsidRPr="00230EA2">
        <w:rPr>
          <w:rFonts w:ascii="Arial" w:hAnsi="Arial" w:cs="Arial"/>
          <w:color w:val="000000" w:themeColor="text1"/>
          <w:szCs w:val="26"/>
        </w:rPr>
        <w:t>=2,19 [1,08 - 4,57]).</w:t>
      </w:r>
    </w:p>
    <w:bookmarkEnd w:id="0"/>
    <w:p w14:paraId="415B7BDA" w14:textId="351FBA81" w:rsidR="00F82EB0" w:rsidRPr="00230EA2" w:rsidRDefault="00F82EB0" w:rsidP="00F82E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>Conclusion :</w:t>
      </w:r>
      <w:r w:rsidRPr="00230EA2">
        <w:rPr>
          <w:rFonts w:ascii="Arial" w:hAnsi="Arial" w:cs="Arial"/>
          <w:color w:val="000000" w:themeColor="text1"/>
        </w:rPr>
        <w:t xml:space="preserve"> La prévalence des troubles mentaux dans les zones en conflits en R</w:t>
      </w:r>
      <w:r w:rsidR="00FC667E" w:rsidRPr="00230EA2">
        <w:rPr>
          <w:rFonts w:ascii="Arial" w:hAnsi="Arial" w:cs="Arial"/>
          <w:color w:val="000000" w:themeColor="text1"/>
        </w:rPr>
        <w:t xml:space="preserve">épublique </w:t>
      </w:r>
      <w:r w:rsidRPr="00230EA2">
        <w:rPr>
          <w:rFonts w:ascii="Arial" w:hAnsi="Arial" w:cs="Arial"/>
          <w:color w:val="000000" w:themeColor="text1"/>
        </w:rPr>
        <w:t>C</w:t>
      </w:r>
      <w:r w:rsidR="00FC667E" w:rsidRPr="00230EA2">
        <w:rPr>
          <w:rFonts w:ascii="Arial" w:hAnsi="Arial" w:cs="Arial"/>
          <w:color w:val="000000" w:themeColor="text1"/>
        </w:rPr>
        <w:t xml:space="preserve">entrafricaine </w:t>
      </w:r>
      <w:r w:rsidRPr="00230EA2">
        <w:rPr>
          <w:rFonts w:ascii="Arial" w:hAnsi="Arial" w:cs="Arial"/>
          <w:color w:val="000000" w:themeColor="text1"/>
        </w:rPr>
        <w:t xml:space="preserve">reste très élevée. Des efforts sont nécessaires afin d’améliorer la santé mentale des populations affectées par les conflits tout en tenant compte des personnes les plus à risques.  </w:t>
      </w:r>
    </w:p>
    <w:p w14:paraId="5DDAF937" w14:textId="6FB42B11" w:rsidR="00F82EB0" w:rsidRPr="00230EA2" w:rsidRDefault="00F82EB0" w:rsidP="00F82E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30EA2">
        <w:rPr>
          <w:rFonts w:ascii="Arial" w:hAnsi="Arial" w:cs="Arial"/>
          <w:b/>
          <w:bCs/>
          <w:color w:val="000000" w:themeColor="text1"/>
        </w:rPr>
        <w:t>Mots clés</w:t>
      </w:r>
      <w:r w:rsidRPr="00230EA2">
        <w:rPr>
          <w:rFonts w:ascii="Arial" w:hAnsi="Arial" w:cs="Arial"/>
          <w:color w:val="000000" w:themeColor="text1"/>
        </w:rPr>
        <w:t> : Conflits, Santé mentale, Prise en charge, RCA.</w:t>
      </w:r>
    </w:p>
    <w:p w14:paraId="597D8596" w14:textId="51E82C89" w:rsidR="00BA727B" w:rsidRPr="00AF7FBF" w:rsidRDefault="00BA727B" w:rsidP="00287DF1">
      <w:pPr>
        <w:spacing w:after="0" w:line="360" w:lineRule="auto"/>
        <w:jc w:val="both"/>
        <w:rPr>
          <w:rFonts w:ascii="Arial" w:hAnsi="Arial" w:cs="Arial"/>
          <w:b/>
          <w:iCs/>
          <w:color w:val="FF0000"/>
        </w:rPr>
      </w:pPr>
      <w:r w:rsidRPr="00230EA2">
        <w:rPr>
          <w:rFonts w:ascii="Arial" w:hAnsi="Arial" w:cs="Arial"/>
          <w:color w:val="000000" w:themeColor="text1"/>
        </w:rPr>
        <w:t>Les auteurs déclarent ne pas avoir de liens d'intérêts</w:t>
      </w:r>
      <w:r w:rsidR="00A53DF2" w:rsidRPr="00230EA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b/>
          <w:iCs/>
          <w:color w:val="FF0000"/>
        </w:rPr>
        <w:t xml:space="preserve"> </w:t>
      </w:r>
    </w:p>
    <w:sectPr w:rsidR="00BA727B" w:rsidRPr="00AF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176D" w14:textId="77777777" w:rsidR="00892A92" w:rsidRDefault="00892A92" w:rsidP="00892A92">
      <w:pPr>
        <w:spacing w:after="0" w:line="240" w:lineRule="auto"/>
      </w:pPr>
      <w:r>
        <w:separator/>
      </w:r>
    </w:p>
  </w:endnote>
  <w:endnote w:type="continuationSeparator" w:id="0">
    <w:p w14:paraId="41B1827F" w14:textId="77777777" w:rsidR="00892A92" w:rsidRDefault="00892A92" w:rsidP="0089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B94E" w14:textId="77777777" w:rsidR="00892A92" w:rsidRDefault="00892A92" w:rsidP="00892A92">
      <w:pPr>
        <w:spacing w:after="0" w:line="240" w:lineRule="auto"/>
      </w:pPr>
      <w:r>
        <w:separator/>
      </w:r>
    </w:p>
  </w:footnote>
  <w:footnote w:type="continuationSeparator" w:id="0">
    <w:p w14:paraId="4654793A" w14:textId="77777777" w:rsidR="00892A92" w:rsidRDefault="00892A92" w:rsidP="0089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B0"/>
    <w:rsid w:val="00056D8F"/>
    <w:rsid w:val="000A2A3E"/>
    <w:rsid w:val="00215FBC"/>
    <w:rsid w:val="002212B4"/>
    <w:rsid w:val="00230EA2"/>
    <w:rsid w:val="0023745C"/>
    <w:rsid w:val="0026383D"/>
    <w:rsid w:val="00287DF1"/>
    <w:rsid w:val="002B76E3"/>
    <w:rsid w:val="002C2C68"/>
    <w:rsid w:val="00321D00"/>
    <w:rsid w:val="003411CE"/>
    <w:rsid w:val="003440CF"/>
    <w:rsid w:val="00364888"/>
    <w:rsid w:val="003C09BB"/>
    <w:rsid w:val="003C28FA"/>
    <w:rsid w:val="003D119D"/>
    <w:rsid w:val="00407946"/>
    <w:rsid w:val="004166F1"/>
    <w:rsid w:val="00431004"/>
    <w:rsid w:val="00433651"/>
    <w:rsid w:val="0043776F"/>
    <w:rsid w:val="00462CD6"/>
    <w:rsid w:val="0046304C"/>
    <w:rsid w:val="004646FB"/>
    <w:rsid w:val="0048412C"/>
    <w:rsid w:val="005052C8"/>
    <w:rsid w:val="00534653"/>
    <w:rsid w:val="00562D94"/>
    <w:rsid w:val="00566988"/>
    <w:rsid w:val="00622A57"/>
    <w:rsid w:val="006B03D7"/>
    <w:rsid w:val="006C6B6E"/>
    <w:rsid w:val="00744DD8"/>
    <w:rsid w:val="007A3127"/>
    <w:rsid w:val="007B6943"/>
    <w:rsid w:val="00807BC3"/>
    <w:rsid w:val="00840E40"/>
    <w:rsid w:val="00844C5D"/>
    <w:rsid w:val="00892A92"/>
    <w:rsid w:val="0089466B"/>
    <w:rsid w:val="0092017A"/>
    <w:rsid w:val="00932ADF"/>
    <w:rsid w:val="00981F78"/>
    <w:rsid w:val="009A59B7"/>
    <w:rsid w:val="009C3B7C"/>
    <w:rsid w:val="009D0262"/>
    <w:rsid w:val="009E425A"/>
    <w:rsid w:val="00A53DF2"/>
    <w:rsid w:val="00AD14AF"/>
    <w:rsid w:val="00AD50A1"/>
    <w:rsid w:val="00AD5DC5"/>
    <w:rsid w:val="00AF7FBF"/>
    <w:rsid w:val="00B01A0F"/>
    <w:rsid w:val="00BA727B"/>
    <w:rsid w:val="00BB09F2"/>
    <w:rsid w:val="00CA0B3C"/>
    <w:rsid w:val="00CB04FF"/>
    <w:rsid w:val="00D30373"/>
    <w:rsid w:val="00D428CA"/>
    <w:rsid w:val="00D67896"/>
    <w:rsid w:val="00D7753B"/>
    <w:rsid w:val="00D906BD"/>
    <w:rsid w:val="00DF00B2"/>
    <w:rsid w:val="00DF5BD5"/>
    <w:rsid w:val="00E0708B"/>
    <w:rsid w:val="00E35C88"/>
    <w:rsid w:val="00E57551"/>
    <w:rsid w:val="00E85B6B"/>
    <w:rsid w:val="00EC045D"/>
    <w:rsid w:val="00EC10D8"/>
    <w:rsid w:val="00F37BF6"/>
    <w:rsid w:val="00F82EB0"/>
    <w:rsid w:val="00FB6E21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F5C"/>
  <w15:chartTrackingRefBased/>
  <w15:docId w15:val="{EB61DE30-D812-4868-9F9E-B9AB9141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B0"/>
  </w:style>
  <w:style w:type="paragraph" w:styleId="Titre1">
    <w:name w:val="heading 1"/>
    <w:basedOn w:val="Normal"/>
    <w:link w:val="Titre1Car"/>
    <w:uiPriority w:val="9"/>
    <w:qFormat/>
    <w:rsid w:val="00463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3B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3B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A92"/>
  </w:style>
  <w:style w:type="paragraph" w:styleId="Pieddepage">
    <w:name w:val="footer"/>
    <w:basedOn w:val="Normal"/>
    <w:link w:val="PieddepageCar"/>
    <w:uiPriority w:val="99"/>
    <w:unhideWhenUsed/>
    <w:rsid w:val="008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A92"/>
  </w:style>
  <w:style w:type="character" w:customStyle="1" w:styleId="Titre1Car">
    <w:name w:val="Titre 1 Car"/>
    <w:basedOn w:val="Policepardfaut"/>
    <w:link w:val="Titre1"/>
    <w:uiPriority w:val="9"/>
    <w:rsid w:val="004630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yama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4262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LONGO JDD</dc:creator>
  <cp:keywords/>
  <dc:description/>
  <cp:lastModifiedBy>USER</cp:lastModifiedBy>
  <cp:revision>78</cp:revision>
  <dcterms:created xsi:type="dcterms:W3CDTF">2025-06-24T11:05:00Z</dcterms:created>
  <dcterms:modified xsi:type="dcterms:W3CDTF">2025-06-27T13:17:00Z</dcterms:modified>
</cp:coreProperties>
</file>