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0B72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rtl w:val="0"/>
        </w:rPr>
      </w:pPr>
      <w:r>
        <w:rPr>
          <w:rFonts w:ascii="Times New Roman" w:hAnsi="Times New Roman" w:eastAsia="Times New Roman" w:cs="Times New Roman"/>
          <w:b/>
          <w:bCs/>
          <w:rtl w:val="0"/>
        </w:rPr>
        <w:t>Distribution à base communautaire (DBC) des produits contraceptifs dans le district de Kloto en 2024 : Acceptabilité et facteurs associés</w:t>
      </w:r>
    </w:p>
    <w:p w14:paraId="41FEAD2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ADOM Atèhèzi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, SADIO Arnold Junior</w:t>
      </w:r>
      <w:r>
        <w:rPr>
          <w:rFonts w:ascii="Times New Roman" w:hAnsi="Times New Roman" w:cs="Times New Roman"/>
          <w:vertAlign w:val="superscript"/>
        </w:rPr>
        <w:t>2,3</w:t>
      </w:r>
      <w:r>
        <w:rPr>
          <w:rFonts w:ascii="Times New Roman" w:hAnsi="Times New Roman" w:cs="Times New Roman"/>
        </w:rPr>
        <w:t>, ADOLI Latame Komla</w:t>
      </w:r>
      <w:r>
        <w:rPr>
          <w:rFonts w:ascii="Times New Roman" w:hAnsi="Times New Roman" w:cs="Times New Roman"/>
          <w:vertAlign w:val="superscript"/>
        </w:rPr>
        <w:t>2,3</w:t>
      </w:r>
      <w:r>
        <w:rPr>
          <w:rFonts w:ascii="Times New Roman" w:hAnsi="Times New Roman" w:cs="Times New Roman"/>
        </w:rPr>
        <w:t>, KONU Yao Rodion</w:t>
      </w:r>
      <w:r>
        <w:rPr>
          <w:rFonts w:ascii="Times New Roman" w:hAnsi="Times New Roman" w:cs="Times New Roman"/>
          <w:vertAlign w:val="superscript"/>
        </w:rPr>
        <w:t>2,3</w:t>
      </w:r>
      <w:r>
        <w:rPr>
          <w:rFonts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fr-FR"/>
        </w:rPr>
        <w:t>TCHANKONI Martin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int="default" w:ascii="Times New Roman" w:hAnsi="Times New Roman" w:cs="Times New Roman"/>
          <w:vertAlign w:val="superscript"/>
          <w:lang w:val="fr-FR"/>
        </w:rPr>
        <w:t>,</w:t>
      </w:r>
      <w:r>
        <w:rPr>
          <w:rFonts w:hint="default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</w:rPr>
        <w:t>Takpaya Gnaro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AZIMA Kiméabalo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</w:rPr>
        <w:t>GBEASOR-KOMLANVI Fifonsi Adjidossi</w:t>
      </w:r>
      <w:r>
        <w:rPr>
          <w:rFonts w:ascii="Times New Roman" w:hAnsi="Times New Roman" w:cs="Times New Roman"/>
          <w:vertAlign w:val="superscript"/>
        </w:rPr>
        <w:t>1,2,3</w:t>
      </w:r>
      <w:r>
        <w:rPr>
          <w:rFonts w:ascii="Times New Roman" w:hAnsi="Times New Roman" w:cs="Times New Roman"/>
        </w:rPr>
        <w:t>, EKOUEVI Koumavi Didier</w:t>
      </w:r>
      <w:r>
        <w:rPr>
          <w:rFonts w:ascii="Times New Roman" w:hAnsi="Times New Roman" w:cs="Times New Roman"/>
          <w:vertAlign w:val="superscript"/>
        </w:rPr>
        <w:t>1,2,3</w:t>
      </w:r>
    </w:p>
    <w:p w14:paraId="62455AD4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Centre de Formation et de Recherche en Santé Publique, Lomé, Togo</w:t>
      </w:r>
    </w:p>
    <w:p w14:paraId="19BA508F">
      <w:pPr>
        <w:pStyle w:val="9"/>
        <w:numPr>
          <w:ilvl w:val="0"/>
          <w:numId w:val="1"/>
        </w:numPr>
        <w:spacing w:line="240" w:lineRule="auto"/>
        <w:jc w:val="both"/>
        <w:rPr>
          <w:rStyle w:val="3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D</w:t>
      </w:r>
      <w:r>
        <w:rPr>
          <w:rFonts w:ascii="Times New Roman" w:hAnsi="Times New Roman" w:cs="Times New Roman"/>
          <w:sz w:val="21"/>
          <w:szCs w:val="21"/>
        </w:rPr>
        <w:t>é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partement de Santé Publique, Université </w:t>
      </w:r>
      <w:r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Lomé, Lomé, Togo </w:t>
      </w:r>
    </w:p>
    <w:p w14:paraId="1BB133C0">
      <w:pPr>
        <w:pStyle w:val="9"/>
        <w:numPr>
          <w:ilvl w:val="0"/>
          <w:numId w:val="1"/>
        </w:numPr>
        <w:spacing w:line="240" w:lineRule="auto"/>
        <w:jc w:val="both"/>
        <w:rPr>
          <w:rStyle w:val="3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Centre Africain de Recherche en Epidémiologie et Santé Publique</w:t>
      </w:r>
      <w:r>
        <w:rPr>
          <w:rFonts w:ascii="Times New Roman" w:hAnsi="Times New Roman" w:cs="Times New Roman"/>
          <w:sz w:val="22"/>
          <w:szCs w:val="22"/>
        </w:rPr>
        <w:t xml:space="preserve"> (CARESP), Lomé, Togo</w:t>
      </w:r>
    </w:p>
    <w:p w14:paraId="58E96575">
      <w:pPr>
        <w:pStyle w:val="9"/>
        <w:numPr>
          <w:ilvl w:val="0"/>
          <w:numId w:val="1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Université de Bordeaux, Institut national de la santé et de la recherche médicale (Inserm), Institut de recherche pour le développement (IRD), Bordeaux Population Health Research Center (BPH), Unité 1219 - GHiGS, Bordeaux, France</w:t>
      </w:r>
    </w:p>
    <w:p w14:paraId="414BA711">
      <w:pPr>
        <w:pStyle w:val="7"/>
        <w:spacing w:before="48" w:beforeLines="15" w:beforeAutospacing="0" w:afterAutospacing="0"/>
        <w:jc w:val="both"/>
        <w:rPr>
          <w:lang w:val="fr-FR"/>
        </w:rPr>
      </w:pPr>
      <w:r>
        <w:rPr>
          <w:rStyle w:val="3"/>
          <w:lang w:val="fr-FR"/>
        </w:rPr>
        <w:t>Introduction :</w:t>
      </w:r>
      <w:r>
        <w:rPr>
          <w:lang w:val="fr-FR"/>
        </w:rPr>
        <w:br w:type="textWrapping"/>
      </w:r>
      <w:r>
        <w:rPr>
          <w:rFonts w:hint="default"/>
          <w:lang w:val="fr-FR"/>
        </w:rPr>
        <w:t>L</w:t>
      </w:r>
      <w:r>
        <w:rPr>
          <w:rFonts w:ascii="Times New Roman" w:hAnsi="Times New Roman" w:eastAsia="SimSun" w:cs="Times New Roman"/>
          <w:sz w:val="24"/>
          <w:szCs w:val="24"/>
          <w:lang w:val="fr-FR"/>
        </w:rPr>
        <w:t xml:space="preserve">a </w:t>
      </w:r>
      <w:r>
        <w:rPr>
          <w:lang w:val="fr-FR"/>
        </w:rPr>
        <w:t xml:space="preserve"> Distribution à Base Communautaire (DBC)</w:t>
      </w:r>
      <w:r>
        <w:rPr>
          <w:rFonts w:ascii="Times New Roman" w:hAnsi="Times New Roman" w:eastAsia="SimSun" w:cs="Times New Roman"/>
          <w:sz w:val="24"/>
          <w:szCs w:val="24"/>
          <w:lang w:val="fr-FR"/>
        </w:rPr>
        <w:t xml:space="preserve"> de contraceptifs injectables par les agents de santé communautaires (ASC) s’est progressivement institutionnalisée à l’échelle mondiale</w:t>
      </w:r>
      <w:r>
        <w:rPr>
          <w:lang w:val="fr-FR"/>
        </w:rPr>
        <w:t>. Cinq ans après</w:t>
      </w:r>
      <w:r>
        <w:rPr>
          <w:rFonts w:hint="default"/>
          <w:lang w:val="fr-FR"/>
        </w:rPr>
        <w:t xml:space="preserve"> sa</w:t>
      </w:r>
      <w:r>
        <w:rPr>
          <w:lang w:val="fr-FR"/>
        </w:rPr>
        <w:t xml:space="preserve"> mise en œuvre  dans le district de Kloto (Togo), aucune évaluation en terme d'acceptabilité n'a été conduite. </w:t>
      </w:r>
      <w:r>
        <w:rPr>
          <w:rFonts w:hint="default"/>
          <w:lang w:val="fr-FR"/>
        </w:rPr>
        <w:t xml:space="preserve">Notre </w:t>
      </w:r>
      <w:r>
        <w:rPr>
          <w:lang w:val="fr-FR"/>
        </w:rPr>
        <w:t>étude a pour objectif d'évaluer l'acceptabilité de cette intervention et ses facteurs associés chez les femmes en âge de procréer.</w:t>
      </w:r>
    </w:p>
    <w:p w14:paraId="0E551105">
      <w:pPr>
        <w:pStyle w:val="7"/>
        <w:spacing w:beforeAutospacing="0" w:afterAutospacing="0"/>
        <w:jc w:val="both"/>
        <w:rPr>
          <w:lang w:val="fr-FR"/>
        </w:rPr>
      </w:pPr>
      <w:r>
        <w:rPr>
          <w:rStyle w:val="3"/>
          <w:lang w:val="fr-FR"/>
        </w:rPr>
        <w:t>Méthod</w:t>
      </w:r>
      <w:r>
        <w:rPr>
          <w:rStyle w:val="3"/>
          <w:rFonts w:hint="default"/>
          <w:lang w:val="fr-FR"/>
        </w:rPr>
        <w:t>e</w:t>
      </w:r>
      <w:bookmarkStart w:id="0" w:name="_GoBack"/>
      <w:bookmarkEnd w:id="0"/>
      <w:r>
        <w:rPr>
          <w:rStyle w:val="3"/>
          <w:lang w:val="fr-FR"/>
        </w:rPr>
        <w:t xml:space="preserve"> :</w:t>
      </w:r>
      <w:r>
        <w:rPr>
          <w:lang w:val="fr-FR"/>
        </w:rPr>
        <w:br w:type="textWrapping"/>
      </w:r>
      <w:r>
        <w:t>Une étude transversale descriptive et analytique a été menée en</w:t>
      </w:r>
      <w:r>
        <w:rPr>
          <w:lang w:val="en-US"/>
        </w:rPr>
        <w:t xml:space="preserve"> </w:t>
      </w:r>
      <w:r>
        <w:rPr>
          <w:rFonts w:hint="default"/>
          <w:lang w:val="fr-FR"/>
        </w:rPr>
        <w:t xml:space="preserve">octobre </w:t>
      </w:r>
      <w:r>
        <w:t xml:space="preserve">2024 auprès de femmes âgées de 15 à 49 ans, sélectionnées via un échantillonnage probabiliste en grappes à trois degrés.. </w:t>
      </w:r>
      <w:r>
        <w:rPr>
          <w:rFonts w:ascii="Times New Roman" w:hAnsi="Times New Roman" w:eastAsia="SimSun" w:cs="Times New Roman"/>
          <w:sz w:val="24"/>
          <w:szCs w:val="24"/>
        </w:rPr>
        <w:t>L’</w:t>
      </w:r>
      <w:r>
        <w:rPr>
          <w:rStyle w:val="2"/>
          <w:rFonts w:ascii="Times New Roman" w:hAnsi="Times New Roman" w:eastAsia="SimSun" w:cs="Times New Roman"/>
          <w:sz w:val="24"/>
          <w:szCs w:val="24"/>
        </w:rPr>
        <w:t>acceptabilité de la DBC</w:t>
      </w:r>
      <w:r>
        <w:rPr>
          <w:rFonts w:ascii="Times New Roman" w:hAnsi="Times New Roman" w:eastAsia="SimSun" w:cs="Times New Roman"/>
          <w:sz w:val="24"/>
          <w:szCs w:val="24"/>
        </w:rPr>
        <w:t xml:space="preserve"> a été définie comme </w:t>
      </w:r>
      <w:r>
        <w:rPr>
          <w:rStyle w:val="2"/>
          <w:rFonts w:ascii="Times New Roman" w:hAnsi="Times New Roman" w:eastAsia="SimSun" w:cs="Times New Roman"/>
          <w:sz w:val="24"/>
          <w:szCs w:val="24"/>
        </w:rPr>
        <w:t>le fait pour une femme en âge de procréer d’avoir utilisé ou d’être disposée à utiliser une méthode contraceptive obtenue par le biais de la DBC</w:t>
      </w:r>
      <w:r>
        <w:rPr>
          <w:rStyle w:val="3"/>
          <w:rFonts w:hint="default" w:ascii="SimSun" w:hAnsi="SimSun" w:cs="SimSun"/>
          <w:sz w:val="24"/>
          <w:szCs w:val="24"/>
          <w:lang w:val="fr-FR"/>
        </w:rPr>
        <w:t xml:space="preserve">. </w:t>
      </w:r>
      <w:r>
        <w:t>Une analyse de régression logistique</w:t>
      </w:r>
      <w:r>
        <w:rPr>
          <w:rFonts w:hint="default"/>
          <w:lang w:val="fr-FR"/>
        </w:rPr>
        <w:t xml:space="preserve"> binaire </w:t>
      </w:r>
      <w:r>
        <w:t xml:space="preserve"> a permis d’identifier les facteurs liés à l’acceptabilité</w:t>
      </w:r>
    </w:p>
    <w:p w14:paraId="1022AED6">
      <w:pPr>
        <w:pStyle w:val="7"/>
        <w:spacing w:before="62" w:beforeLines="20" w:beforeAutospacing="0" w:after="156" w:afterLines="50" w:afterAutospacing="0"/>
        <w:jc w:val="both"/>
        <w:rPr>
          <w:lang w:val="fr-FR"/>
        </w:rPr>
      </w:pPr>
      <w:r>
        <w:rPr>
          <w:rStyle w:val="3"/>
          <w:lang w:val="fr-FR"/>
        </w:rPr>
        <w:t>Résultats :</w:t>
      </w:r>
      <w:r>
        <w:rPr>
          <w:lang w:val="fr-FR"/>
        </w:rPr>
        <w:br w:type="textWrapping"/>
      </w:r>
      <w:r>
        <w:rPr>
          <w:rFonts w:hint="default"/>
          <w:lang w:val="fr-FR"/>
        </w:rPr>
        <w:t xml:space="preserve">Au total 426 femmes en âge de procréer ont été enquêtés avec un </w:t>
      </w:r>
      <w:r>
        <w:t>âge moyen  de 29,7 ans</w:t>
      </w:r>
      <w:r>
        <w:rPr>
          <w:rFonts w:hint="default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±8,48</w:t>
      </w:r>
      <w:r>
        <w:t>. Parmi elles, 61,3 % connaissaient la DBC</w:t>
      </w:r>
      <w:r>
        <w:rPr>
          <w:rFonts w:hint="default"/>
          <w:lang w:val="fr-FR"/>
        </w:rPr>
        <w:t xml:space="preserve">. L’acceptabilité globale de la DBC était estimée à </w:t>
      </w:r>
      <w:r>
        <w:t>43,1 % des utilisatrices de méthodes contraceptives</w:t>
      </w:r>
      <w:r>
        <w:rPr>
          <w:rFonts w:hint="default"/>
          <w:lang w:val="fr-FR"/>
        </w:rPr>
        <w:t>.</w:t>
      </w:r>
      <w:r>
        <w:t xml:space="preserve"> L’approbation du partenaire avant adoption a été rapportée par 90,3 % des femmes. Les effets secondaires représentaient le principal frein à l’utilisation pour 55,6 % des enquêtées. En analyse multivariée, </w:t>
      </w:r>
      <w:r>
        <w:rPr>
          <w:rFonts w:ascii="Times New Roman" w:hAnsi="Times New Roman" w:eastAsia="SimSun" w:cs="Times New Roman"/>
          <w:sz w:val="24"/>
          <w:szCs w:val="24"/>
        </w:rPr>
        <w:t xml:space="preserve">les femmes ayant un niveau primaire étaient significativement </w:t>
      </w:r>
      <w:r>
        <w:rPr>
          <w:rStyle w:val="2"/>
          <w:rFonts w:ascii="Times New Roman" w:hAnsi="Times New Roman" w:eastAsia="SimSun" w:cs="Times New Roman"/>
          <w:sz w:val="24"/>
          <w:szCs w:val="24"/>
        </w:rPr>
        <w:t>moins susceptibles d’accepter</w:t>
      </w:r>
      <w:r>
        <w:rPr>
          <w:rFonts w:ascii="Times New Roman" w:hAnsi="Times New Roman" w:eastAsia="SimSun" w:cs="Times New Roman"/>
          <w:sz w:val="24"/>
          <w:szCs w:val="24"/>
        </w:rPr>
        <w:t xml:space="preserve"> la DBC que celles ayant un niveau d’instruction plus élevé</w:t>
      </w:r>
      <w:r>
        <w:rPr>
          <w:rFonts w:hint="default" w:ascii="SimSun" w:hAnsi="SimSun" w:cs="SimSun"/>
          <w:sz w:val="24"/>
          <w:szCs w:val="24"/>
          <w:lang w:val="fr-FR"/>
        </w:rPr>
        <w:t xml:space="preserve"> </w:t>
      </w:r>
      <w:r>
        <w:t xml:space="preserve"> (OR = 0,34 ; IC95 % [0,23–0,51] ; p &lt; 0,001).</w:t>
      </w:r>
    </w:p>
    <w:p w14:paraId="2472016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jc w:val="both"/>
      </w:pPr>
      <w:r>
        <w:rPr>
          <w:rStyle w:val="3"/>
          <w:lang w:val="fr-FR"/>
        </w:rPr>
        <w:t>Conclusion :</w:t>
      </w:r>
      <w:r>
        <w:rPr>
          <w:lang w:val="fr-FR"/>
        </w:rPr>
        <w:br w:type="textWrapping"/>
      </w:r>
      <w:r>
        <w:rPr>
          <w:rFonts w:ascii="Times New Roman" w:hAnsi="Times New Roman" w:eastAsia="SimSun" w:cs="Times New Roman"/>
          <w:sz w:val="24"/>
          <w:szCs w:val="24"/>
        </w:rPr>
        <w:t>L’acceptabilité de la DBC reste modérée</w:t>
      </w:r>
      <w:r>
        <w:rPr>
          <w:rFonts w:hint="default" w:cs="Times New Roman"/>
          <w:sz w:val="24"/>
          <w:szCs w:val="24"/>
          <w:lang w:val="fr-FR"/>
        </w:rPr>
        <w:t xml:space="preserve"> dans le district de </w:t>
      </w:r>
      <w:r>
        <w:rPr>
          <w:rFonts w:ascii="Times New Roman" w:hAnsi="Times New Roman" w:eastAsia="SimSun" w:cs="Times New Roman"/>
          <w:sz w:val="24"/>
          <w:szCs w:val="24"/>
        </w:rPr>
        <w:t>Kloto</w:t>
      </w:r>
      <w:r>
        <w:rPr>
          <w:rFonts w:hint="default" w:cs="Times New Roman"/>
          <w:sz w:val="24"/>
          <w:szCs w:val="24"/>
          <w:lang w:val="fr-FR"/>
        </w:rPr>
        <w:t xml:space="preserve"> (43,1%)</w:t>
      </w:r>
      <w:r>
        <w:rPr>
          <w:rFonts w:ascii="Times New Roman" w:hAnsi="Times New Roman" w:eastAsia="SimSun" w:cs="Times New Roman"/>
          <w:sz w:val="24"/>
          <w:szCs w:val="24"/>
        </w:rPr>
        <w:t>, bien que la connaissance soit élevée</w:t>
      </w:r>
      <w:r>
        <w:rPr>
          <w:rFonts w:hint="default" w:cs="Times New Roman"/>
          <w:sz w:val="24"/>
          <w:szCs w:val="24"/>
          <w:lang w:val="fr-FR"/>
        </w:rPr>
        <w:t xml:space="preserve"> (61,3%)</w:t>
      </w:r>
      <w:r>
        <w:rPr>
          <w:rFonts w:ascii="Times New Roman" w:hAnsi="Times New Roman" w:eastAsia="SimSun" w:cs="Times New Roman"/>
          <w:sz w:val="24"/>
          <w:szCs w:val="24"/>
        </w:rPr>
        <w:t xml:space="preserve">. Les femmes ayant un niveau d’instruction primaire </w:t>
      </w:r>
      <w:r>
        <w:rPr>
          <w:rFonts w:cs="Times New Roman"/>
          <w:sz w:val="24"/>
          <w:szCs w:val="24"/>
          <w:lang w:val="fr-FR"/>
        </w:rPr>
        <w:t>a</w:t>
      </w:r>
      <w:r>
        <w:rPr>
          <w:rFonts w:hint="default" w:cs="Times New Roman"/>
          <w:sz w:val="24"/>
          <w:szCs w:val="24"/>
          <w:lang w:val="fr-FR"/>
        </w:rPr>
        <w:t>doptent moins la DBC.</w:t>
      </w:r>
      <w:r>
        <w:rPr>
          <w:rFonts w:ascii="Times New Roman" w:hAnsi="Times New Roman" w:eastAsia="SimSun" w:cs="Times New Roman"/>
          <w:sz w:val="24"/>
          <w:szCs w:val="24"/>
        </w:rPr>
        <w:t xml:space="preserve">  Les actions de sensibilisation devraient être renforcées, en ciblant prioritairement les femmes les moins instruites</w:t>
      </w:r>
      <w:r>
        <w:t>.</w:t>
      </w:r>
    </w:p>
    <w:p w14:paraId="78C2BEC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lang w:val="fr-FR"/>
        </w:rPr>
      </w:pPr>
      <w:r>
        <w:rPr>
          <w:rStyle w:val="3"/>
        </w:rPr>
        <w:t>Mots-clés :</w:t>
      </w:r>
      <w:r>
        <w:rPr>
          <w:rStyle w:val="3"/>
          <w:rFonts w:hint="default"/>
          <w:lang w:val="fr-FR"/>
        </w:rPr>
        <w:t xml:space="preserve"> </w:t>
      </w:r>
      <w:r>
        <w:t>Produits contraceptifs, distribution communautaire, femmes en âge de procréer, Kloto, Togo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05C41"/>
    <w:multiLevelType w:val="multilevel"/>
    <w:tmpl w:val="12E05C41"/>
    <w:lvl w:ilvl="0" w:tentative="0">
      <w:start w:val="1"/>
      <w:numFmt w:val="decimal"/>
      <w:lvlText w:val="%1-"/>
      <w:lvlJc w:val="left"/>
      <w:pPr>
        <w:ind w:left="1020" w:hanging="360"/>
      </w:pPr>
      <w:rPr>
        <w:rFonts w:hint="default" w:ascii="Times New Roman" w:hAnsi="Times New Roman" w:cs="Times New Roman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08"/>
  <w:hyphenationZone w:val="425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43"/>
    <w:rsid w:val="000A19CE"/>
    <w:rsid w:val="00103D0D"/>
    <w:rsid w:val="002F3455"/>
    <w:rsid w:val="00494FFB"/>
    <w:rsid w:val="00652DF3"/>
    <w:rsid w:val="00725D6E"/>
    <w:rsid w:val="007F11F5"/>
    <w:rsid w:val="00900E43"/>
    <w:rsid w:val="00BC2D38"/>
    <w:rsid w:val="00E322C3"/>
    <w:rsid w:val="03FA4D01"/>
    <w:rsid w:val="05386307"/>
    <w:rsid w:val="0A9232CA"/>
    <w:rsid w:val="0BA61C53"/>
    <w:rsid w:val="11CE06C9"/>
    <w:rsid w:val="12043D8D"/>
    <w:rsid w:val="17DF51B5"/>
    <w:rsid w:val="19835866"/>
    <w:rsid w:val="1D4C461D"/>
    <w:rsid w:val="21F75569"/>
    <w:rsid w:val="2563257C"/>
    <w:rsid w:val="39C23FDE"/>
    <w:rsid w:val="3FE200A5"/>
    <w:rsid w:val="41AA1BB1"/>
    <w:rsid w:val="48C65C16"/>
    <w:rsid w:val="4E1942E1"/>
    <w:rsid w:val="67DB58BC"/>
    <w:rsid w:val="6AAA5C0D"/>
    <w:rsid w:val="6B661CC7"/>
    <w:rsid w:val="6DF5297B"/>
    <w:rsid w:val="6E012B31"/>
    <w:rsid w:val="726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paragraph" w:styleId="6">
    <w:name w:val="annotation text"/>
    <w:basedOn w:val="1"/>
    <w:link w:val="10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Commentaire Car"/>
    <w:basedOn w:val="2"/>
    <w:link w:val="6"/>
    <w:qFormat/>
    <w:uiPriority w:val="99"/>
    <w:rPr>
      <w:rFonts w:eastAsia="Calibri"/>
      <w:lang w:eastAsia="en-US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Calibri" w:cs="SimSun"/>
      <w:sz w:val="22"/>
      <w:szCs w:val="22"/>
      <w:lang w:val="fr-FR" w:eastAsia="en-US" w:bidi="ar-SA"/>
    </w:rPr>
  </w:style>
  <w:style w:type="character" w:customStyle="1" w:styleId="12">
    <w:name w:val="Objet du commentaire Car"/>
    <w:basedOn w:val="10"/>
    <w:link w:val="5"/>
    <w:semiHidden/>
    <w:qFormat/>
    <w:uiPriority w:val="99"/>
    <w:rPr>
      <w:rFonts w:eastAsia="Calibri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DFF18E0-7D38-43EB-85E3-EB9D8C9EC341}">
  <ds:schemaRefs/>
</ds:datastoreItem>
</file>

<file path=customXml/itemProps2.xml><?xml version="1.0" encoding="utf-8"?>
<ds:datastoreItem xmlns:ds="http://schemas.openxmlformats.org/officeDocument/2006/customXml" ds:itemID="{B04351FC-0877-485F-AF5F-6CFFAC7169CB}">
  <ds:schemaRefs/>
</ds:datastoreItem>
</file>

<file path=customXml/itemProps3.xml><?xml version="1.0" encoding="utf-8"?>
<ds:datastoreItem xmlns:ds="http://schemas.openxmlformats.org/officeDocument/2006/customXml" ds:itemID="{AF2DF960-17C7-45C5-8928-DFA4792512DA}">
  <ds:schemaRefs/>
</ds:datastoreItem>
</file>

<file path=customXml/itemProps4.xml><?xml version="1.0" encoding="utf-8"?>
<ds:datastoreItem xmlns:ds="http://schemas.openxmlformats.org/officeDocument/2006/customXml" ds:itemID="{354BE59B-3D9B-459B-BCC0-10490A5060B0}">
  <ds:schemaRefs/>
</ds:datastoreItem>
</file>

<file path=customXml/itemProps5.xml><?xml version="1.0" encoding="utf-8"?>
<ds:datastoreItem xmlns:ds="http://schemas.openxmlformats.org/officeDocument/2006/customXml" ds:itemID="{221497C8-66C9-4758-9836-09EA79341FB6}">
  <ds:schemaRefs/>
</ds:datastoreItem>
</file>

<file path=customXml/itemProps6.xml><?xml version="1.0" encoding="utf-8"?>
<ds:datastoreItem xmlns:ds="http://schemas.openxmlformats.org/officeDocument/2006/customXml" ds:itemID="{741682A1-F3CA-43F5-890A-2A8F8E0D8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2244</Characters>
  <Lines>18</Lines>
  <Paragraphs>5</Paragraphs>
  <TotalTime>22</TotalTime>
  <ScaleCrop>false</ScaleCrop>
  <LinksUpToDate>false</LinksUpToDate>
  <CharactersWithSpaces>2646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2025-06-11T07:18:00Z</dcterms:created>
  <dc:creator>Olivier Adom</dc:creator>
  <cp:lastModifiedBy>Olivier Adom</cp:lastModifiedBy>
  <dcterms:modified xsi:type="dcterms:W3CDTF">2025-06-30T20:07:00Z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1036-12.2.0.21546</vt:lpwstr>
  </property>
  <property fmtid="{D5CDD505-2E9C-101B-9397-08002B2CF9AE}" pid="3" name="ICV">
    <vt:lpwstr>C434CABEBE784FE5ACC4DD0D5101DE03_13</vt:lpwstr>
  </property>
</Properties>
</file>