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6071" w14:textId="330DEF08" w:rsidR="002D46A0" w:rsidRPr="00327896" w:rsidRDefault="002D46A0" w:rsidP="00327896">
      <w:pPr>
        <w:pStyle w:val="Titre"/>
        <w:jc w:val="both"/>
        <w:rPr>
          <w:rFonts w:ascii="Calibri" w:hAnsi="Calibri" w:cs="Calibri"/>
          <w:sz w:val="32"/>
          <w:szCs w:val="32"/>
        </w:rPr>
      </w:pPr>
      <w:r w:rsidRPr="00327896">
        <w:rPr>
          <w:rFonts w:ascii="Calibri" w:hAnsi="Calibri" w:cs="Calibri"/>
          <w:sz w:val="32"/>
          <w:szCs w:val="32"/>
        </w:rPr>
        <w:t xml:space="preserve">Variations spatiales et </w:t>
      </w:r>
      <w:r w:rsidR="00327896" w:rsidRPr="00327896">
        <w:rPr>
          <w:rFonts w:ascii="Calibri" w:hAnsi="Calibri" w:cs="Calibri"/>
          <w:sz w:val="32"/>
          <w:szCs w:val="32"/>
        </w:rPr>
        <w:t>déterminants de</w:t>
      </w:r>
      <w:r w:rsidRPr="00327896">
        <w:rPr>
          <w:rFonts w:ascii="Calibri" w:hAnsi="Calibri" w:cs="Calibri"/>
          <w:sz w:val="32"/>
          <w:szCs w:val="32"/>
        </w:rPr>
        <w:t xml:space="preserve"> l'accès au dépistage du VIH en Guinée : </w:t>
      </w:r>
      <w:r w:rsidR="003172D0">
        <w:rPr>
          <w:rFonts w:ascii="Calibri" w:hAnsi="Calibri" w:cs="Calibri"/>
          <w:sz w:val="32"/>
          <w:szCs w:val="32"/>
        </w:rPr>
        <w:t>A</w:t>
      </w:r>
      <w:r w:rsidRPr="00327896">
        <w:rPr>
          <w:rFonts w:ascii="Calibri" w:hAnsi="Calibri" w:cs="Calibri"/>
          <w:sz w:val="32"/>
          <w:szCs w:val="32"/>
        </w:rPr>
        <w:t xml:space="preserve">nalyse secondaire des données de l'Enquête Démographique et de Santé </w:t>
      </w:r>
      <w:r w:rsidR="00327896" w:rsidRPr="00327896">
        <w:rPr>
          <w:rFonts w:ascii="Calibri" w:hAnsi="Calibri" w:cs="Calibri"/>
          <w:sz w:val="32"/>
          <w:szCs w:val="32"/>
        </w:rPr>
        <w:t xml:space="preserve">de </w:t>
      </w:r>
      <w:r w:rsidRPr="00327896">
        <w:rPr>
          <w:rFonts w:ascii="Calibri" w:hAnsi="Calibri" w:cs="Calibri"/>
          <w:sz w:val="32"/>
          <w:szCs w:val="32"/>
        </w:rPr>
        <w:t>2018</w:t>
      </w:r>
    </w:p>
    <w:p w14:paraId="486378BF" w14:textId="77777777" w:rsidR="002D46A0" w:rsidRPr="00327896" w:rsidRDefault="002D46A0" w:rsidP="002D46A0">
      <w:pPr>
        <w:pStyle w:val="Titre1"/>
        <w:rPr>
          <w:rFonts w:ascii="Calibri" w:hAnsi="Calibri" w:cs="Calibri"/>
          <w:sz w:val="24"/>
          <w:szCs w:val="24"/>
        </w:rPr>
      </w:pPr>
      <w:r w:rsidRPr="00327896">
        <w:rPr>
          <w:rFonts w:ascii="Calibri" w:hAnsi="Calibri" w:cs="Calibri"/>
          <w:sz w:val="24"/>
          <w:szCs w:val="24"/>
        </w:rPr>
        <w:t>Auteurs et affiliations</w:t>
      </w:r>
    </w:p>
    <w:p w14:paraId="11B4EE6D" w14:textId="77777777" w:rsidR="002D46A0" w:rsidRPr="00637B09" w:rsidRDefault="002D46A0" w:rsidP="001A2176">
      <w:pPr>
        <w:spacing w:line="240" w:lineRule="auto"/>
        <w:rPr>
          <w:rFonts w:cs="Calibri"/>
        </w:rPr>
      </w:pPr>
      <w:r w:rsidRPr="00637B09">
        <w:rPr>
          <w:rFonts w:cs="Calibri"/>
        </w:rPr>
        <w:t>Niouma Nestor Leno</w:t>
      </w:r>
      <w:r w:rsidRPr="00637B09">
        <w:rPr>
          <w:rFonts w:cs="Calibri"/>
          <w:vertAlign w:val="superscript"/>
        </w:rPr>
        <w:t>1,2,3</w:t>
      </w:r>
      <w:r w:rsidRPr="00637B09">
        <w:rPr>
          <w:rFonts w:cs="Calibri"/>
        </w:rPr>
        <w:t>, Kayossi Florent Adjakou</w:t>
      </w:r>
      <w:r w:rsidRPr="00637B09">
        <w:rPr>
          <w:rFonts w:cs="Calibri"/>
          <w:vertAlign w:val="superscript"/>
        </w:rPr>
        <w:t>3</w:t>
      </w:r>
      <w:r w:rsidRPr="00637B09">
        <w:rPr>
          <w:rFonts w:cs="Calibri"/>
        </w:rPr>
        <w:t>, Condé Kaba</w:t>
      </w:r>
      <w:r w:rsidRPr="00637B09">
        <w:rPr>
          <w:rFonts w:cs="Calibri"/>
          <w:vertAlign w:val="superscript"/>
        </w:rPr>
        <w:t>4</w:t>
      </w:r>
      <w:r w:rsidRPr="00637B09">
        <w:rPr>
          <w:rFonts w:cs="Calibri"/>
        </w:rPr>
        <w:t>, Laurent Lehot</w:t>
      </w:r>
      <w:r w:rsidRPr="00637B09">
        <w:rPr>
          <w:rFonts w:cs="Calibri"/>
          <w:vertAlign w:val="superscript"/>
        </w:rPr>
        <w:t>5</w:t>
      </w:r>
    </w:p>
    <w:p w14:paraId="6994CC4B" w14:textId="77777777" w:rsidR="001A2176" w:rsidRDefault="001A2176" w:rsidP="001A2176">
      <w:pPr>
        <w:spacing w:after="0" w:line="240" w:lineRule="auto"/>
        <w:rPr>
          <w:rFonts w:cs="Calibri"/>
        </w:rPr>
      </w:pPr>
      <w:r w:rsidRPr="001A2176">
        <w:rPr>
          <w:rFonts w:cs="Calibri"/>
          <w:b/>
          <w:bCs/>
          <w:sz w:val="28"/>
          <w:szCs w:val="28"/>
          <w:vertAlign w:val="superscript"/>
        </w:rPr>
        <w:t>1</w:t>
      </w:r>
      <w:r w:rsidR="002D46A0" w:rsidRPr="001A2176">
        <w:rPr>
          <w:rFonts w:cs="Calibri"/>
        </w:rPr>
        <w:t>Chaire de Santé Publique, Faculté des Sciences et Technologies de la Santé, Université Gamal Abdel Nasser, Conakry, Guinée.</w:t>
      </w:r>
    </w:p>
    <w:p w14:paraId="63A3C18D" w14:textId="77777777" w:rsidR="001A2176" w:rsidRDefault="001A2176" w:rsidP="001A2176">
      <w:pPr>
        <w:spacing w:after="0" w:line="240" w:lineRule="auto"/>
        <w:rPr>
          <w:rFonts w:cs="Calibri"/>
        </w:rPr>
      </w:pPr>
      <w:r w:rsidRPr="001A2176">
        <w:rPr>
          <w:rFonts w:cs="Calibri"/>
          <w:b/>
          <w:bCs/>
          <w:sz w:val="28"/>
          <w:szCs w:val="28"/>
          <w:vertAlign w:val="superscript"/>
        </w:rPr>
        <w:t>2</w:t>
      </w:r>
      <w:r w:rsidR="002D46A0" w:rsidRPr="001A2176">
        <w:rPr>
          <w:rFonts w:cs="Calibri"/>
        </w:rPr>
        <w:t>Centre Africain d’Excellence pour la Prévention et le Contrôle des Maladies, Université Gamal Abdel Nasser, Conakry, Guinée.</w:t>
      </w:r>
    </w:p>
    <w:p w14:paraId="6185C988" w14:textId="77777777" w:rsidR="001A2176" w:rsidRDefault="001A2176" w:rsidP="001A2176">
      <w:pPr>
        <w:spacing w:after="0" w:line="240" w:lineRule="auto"/>
        <w:rPr>
          <w:rFonts w:cs="Calibri"/>
        </w:rPr>
      </w:pPr>
      <w:r w:rsidRPr="001A2176">
        <w:rPr>
          <w:rFonts w:cs="Calibri"/>
          <w:b/>
          <w:bCs/>
          <w:sz w:val="28"/>
          <w:szCs w:val="28"/>
          <w:vertAlign w:val="superscript"/>
        </w:rPr>
        <w:t>3</w:t>
      </w:r>
      <w:r w:rsidR="002D46A0" w:rsidRPr="001A2176">
        <w:rPr>
          <w:rFonts w:cs="Calibri"/>
        </w:rPr>
        <w:t>Programme Élargi de Vaccination, Ministère de la Santé et de l’Hygiène Publique, Conakry, Guinée.</w:t>
      </w:r>
    </w:p>
    <w:p w14:paraId="4082133B" w14:textId="77777777" w:rsidR="001A2176" w:rsidRDefault="001A2176" w:rsidP="001A2176">
      <w:pPr>
        <w:spacing w:after="0" w:line="240" w:lineRule="auto"/>
        <w:rPr>
          <w:rFonts w:cs="Calibri"/>
        </w:rPr>
      </w:pPr>
      <w:r w:rsidRPr="001A2176">
        <w:rPr>
          <w:rFonts w:cs="Calibri"/>
          <w:b/>
          <w:bCs/>
          <w:sz w:val="28"/>
          <w:szCs w:val="28"/>
          <w:vertAlign w:val="superscript"/>
        </w:rPr>
        <w:t>4</w:t>
      </w:r>
      <w:r w:rsidR="002D46A0" w:rsidRPr="001A2176">
        <w:rPr>
          <w:rFonts w:cs="Calibri"/>
        </w:rPr>
        <w:t>Service de Rhumatologie, Hôpital National Ignace Deen, Conakry, Guinée.</w:t>
      </w:r>
    </w:p>
    <w:p w14:paraId="5622539B" w14:textId="5928A469" w:rsidR="002D46A0" w:rsidRDefault="001A2176" w:rsidP="001A2176">
      <w:pPr>
        <w:spacing w:after="0" w:line="240" w:lineRule="auto"/>
        <w:rPr>
          <w:rFonts w:cs="Calibri"/>
        </w:rPr>
      </w:pPr>
      <w:r w:rsidRPr="001A2176">
        <w:rPr>
          <w:rFonts w:cs="Calibri"/>
          <w:b/>
          <w:bCs/>
          <w:sz w:val="28"/>
          <w:szCs w:val="28"/>
          <w:vertAlign w:val="superscript"/>
        </w:rPr>
        <w:t>5</w:t>
      </w:r>
      <w:r w:rsidR="002D46A0" w:rsidRPr="001A2176">
        <w:rPr>
          <w:rFonts w:cs="Calibri"/>
        </w:rPr>
        <w:t>Université Aix-Marseille, Marseille, France.</w:t>
      </w:r>
    </w:p>
    <w:p w14:paraId="5329B3C8" w14:textId="77777777" w:rsidR="001A2176" w:rsidRPr="001A2176" w:rsidRDefault="001A2176" w:rsidP="001A2176">
      <w:pPr>
        <w:spacing w:after="0" w:line="240" w:lineRule="auto"/>
        <w:rPr>
          <w:rFonts w:cs="Calibri"/>
        </w:rPr>
      </w:pPr>
    </w:p>
    <w:p w14:paraId="0EB6B9CE" w14:textId="77777777" w:rsidR="002D46A0" w:rsidRPr="001A2176" w:rsidRDefault="002D46A0" w:rsidP="001A2176">
      <w:pPr>
        <w:spacing w:after="0" w:line="240" w:lineRule="auto"/>
        <w:rPr>
          <w:b/>
          <w:bCs/>
        </w:rPr>
      </w:pPr>
      <w:r w:rsidRPr="001A2176">
        <w:rPr>
          <w:b/>
          <w:bCs/>
        </w:rPr>
        <w:t>Résumé</w:t>
      </w:r>
    </w:p>
    <w:p w14:paraId="480A76FE" w14:textId="77777777" w:rsidR="001A2176" w:rsidRPr="001A2176" w:rsidRDefault="001A2176" w:rsidP="001A2176">
      <w:pPr>
        <w:spacing w:after="0" w:line="240" w:lineRule="auto"/>
        <w:jc w:val="both"/>
        <w:rPr>
          <w:b/>
          <w:bCs/>
          <w:sz w:val="12"/>
          <w:szCs w:val="12"/>
        </w:rPr>
      </w:pPr>
    </w:p>
    <w:p w14:paraId="5BF4CCBA" w14:textId="2FBA6DA8" w:rsidR="00024FBD" w:rsidRPr="00024FBD" w:rsidRDefault="00DE0896" w:rsidP="00024FBD">
      <w:pPr>
        <w:spacing w:after="0" w:line="240" w:lineRule="auto"/>
        <w:jc w:val="both"/>
        <w:rPr>
          <w:rFonts w:cs="Calibri"/>
        </w:rPr>
      </w:pPr>
      <w:r>
        <w:rPr>
          <w:rFonts w:cs="Calibri"/>
          <w:b/>
          <w:bCs/>
        </w:rPr>
        <w:t>Introduction</w:t>
      </w:r>
      <w:r w:rsidR="00024FBD">
        <w:rPr>
          <w:rFonts w:cs="Calibri"/>
          <w:b/>
          <w:bCs/>
        </w:rPr>
        <w:t xml:space="preserve"> : </w:t>
      </w:r>
      <w:r w:rsidR="00024FBD" w:rsidRPr="00024FBD">
        <w:rPr>
          <w:rFonts w:cs="Calibri"/>
        </w:rPr>
        <w:t>Le virus de l’immunodéficience humaine (VIH) demeure un problème majeur de santé publique en Afrique subsaharienne. En Guinée, l’accès au dépistage du VIH présente d’importantes disparités géographiques, compromettant les efforts de prévention et de prise en charge. Cette étude vise à analyser les variations spatiales et les facteurs associés à l’accès au dépistage du VIH chez les hommes et les femmes âgés de 15 à 49 ans en Guinée, à partir des données de l’Enquête Démographique et de Santé (EDS) de 2018.</w:t>
      </w:r>
    </w:p>
    <w:p w14:paraId="2A9D87D9" w14:textId="77777777" w:rsidR="00BA026E" w:rsidRDefault="00BA026E" w:rsidP="00024FBD">
      <w:pPr>
        <w:spacing w:after="0" w:line="240" w:lineRule="auto"/>
        <w:jc w:val="both"/>
        <w:rPr>
          <w:rFonts w:cs="Calibri"/>
          <w:b/>
          <w:bCs/>
        </w:rPr>
      </w:pPr>
    </w:p>
    <w:p w14:paraId="595EF421" w14:textId="47D65FEE" w:rsidR="00024FBD" w:rsidRPr="00024FBD" w:rsidRDefault="00024FBD" w:rsidP="00024FBD">
      <w:pPr>
        <w:spacing w:after="0" w:line="240" w:lineRule="auto"/>
        <w:jc w:val="both"/>
        <w:rPr>
          <w:rFonts w:cs="Calibri"/>
        </w:rPr>
      </w:pPr>
      <w:r w:rsidRPr="00024FBD">
        <w:rPr>
          <w:rFonts w:cs="Calibri"/>
          <w:b/>
          <w:bCs/>
        </w:rPr>
        <w:t>Méthodes</w:t>
      </w:r>
      <w:r w:rsidR="00BA026E">
        <w:rPr>
          <w:rFonts w:cs="Calibri"/>
          <w:b/>
          <w:bCs/>
        </w:rPr>
        <w:t xml:space="preserve"> : </w:t>
      </w:r>
      <w:r w:rsidR="003343DE" w:rsidRPr="003343DE">
        <w:rPr>
          <w:rFonts w:cs="Calibri"/>
        </w:rPr>
        <w:t>Il s’agissait d’</w:t>
      </w:r>
      <w:r w:rsidR="003343DE">
        <w:rPr>
          <w:rFonts w:cs="Calibri"/>
        </w:rPr>
        <w:t>un</w:t>
      </w:r>
      <w:r w:rsidRPr="00024FBD">
        <w:rPr>
          <w:rFonts w:cs="Calibri"/>
        </w:rPr>
        <w:t xml:space="preserve">e étude transversale </w:t>
      </w:r>
      <w:r w:rsidR="003172D0" w:rsidRPr="003343DE">
        <w:rPr>
          <w:rFonts w:cs="Calibri"/>
        </w:rPr>
        <w:t xml:space="preserve">ayant utilisé les données </w:t>
      </w:r>
      <w:r w:rsidR="0021194F" w:rsidRPr="003343DE">
        <w:rPr>
          <w:rFonts w:cs="Calibri"/>
        </w:rPr>
        <w:t xml:space="preserve">de l’EDS Guinée 2018. L’étude a porté </w:t>
      </w:r>
      <w:r w:rsidR="002A1878" w:rsidRPr="003343DE">
        <w:rPr>
          <w:rFonts w:cs="Calibri"/>
        </w:rPr>
        <w:t xml:space="preserve">sur les </w:t>
      </w:r>
      <w:r w:rsidRPr="00024FBD">
        <w:rPr>
          <w:rFonts w:cs="Calibri"/>
        </w:rPr>
        <w:t>données de 14 451 individus répartis dans 340 zones de santé et 38 districts sanitaires. Les analyses ont utilisé l’indice global de Moran pour détecter l’autocorrélation spatiale, ainsi que l’autocorrélation locale et les analyses de zones chaudes/froides pour identifier les concentrations géographiques d’accès au dépistage. Des régressions ordinales logistiques ont permis d’identifier les facteurs associés à l’accès différentiel au dépistage.</w:t>
      </w:r>
    </w:p>
    <w:p w14:paraId="5A8D44CE" w14:textId="77777777" w:rsidR="00DE0896" w:rsidRDefault="00DE0896" w:rsidP="00024FBD">
      <w:pPr>
        <w:spacing w:after="0" w:line="240" w:lineRule="auto"/>
        <w:jc w:val="both"/>
        <w:rPr>
          <w:rFonts w:cs="Calibri"/>
          <w:b/>
          <w:bCs/>
        </w:rPr>
      </w:pPr>
    </w:p>
    <w:p w14:paraId="2AC879CB" w14:textId="3D738097" w:rsidR="00024FBD" w:rsidRPr="00024FBD" w:rsidRDefault="00024FBD" w:rsidP="00024FBD">
      <w:pPr>
        <w:spacing w:after="0" w:line="240" w:lineRule="auto"/>
        <w:jc w:val="both"/>
        <w:rPr>
          <w:rFonts w:cs="Calibri"/>
        </w:rPr>
      </w:pPr>
      <w:r w:rsidRPr="00024FBD">
        <w:rPr>
          <w:rFonts w:cs="Calibri"/>
          <w:b/>
          <w:bCs/>
        </w:rPr>
        <w:t>Résultats</w:t>
      </w:r>
      <w:r w:rsidR="00DE0896">
        <w:rPr>
          <w:rFonts w:cs="Calibri"/>
          <w:b/>
          <w:bCs/>
        </w:rPr>
        <w:t xml:space="preserve"> : </w:t>
      </w:r>
      <w:r w:rsidRPr="00024FBD">
        <w:rPr>
          <w:rFonts w:cs="Calibri"/>
        </w:rPr>
        <w:t>L’étude révèle une autocorrélation spatiale significative pour l’accès au dépistage du VIH (I = 0,170 ; p &lt; 0,001) et pour les niveaux modéré et optimal (I = 0,232 ; p &lt; 0,001). L’accès était associé de façon significative à l’âge (OR = 1,005), au sexe (OR = 0,517), au niveau socio-économique (OR = 1,119) et au cadre de résidence (urbain vs rural, OR = 1,384). Ces résultats mettent en évidence des disparités géographiques et sociales notables.</w:t>
      </w:r>
    </w:p>
    <w:p w14:paraId="03FF2C24" w14:textId="77777777" w:rsidR="00DE0896" w:rsidRDefault="00DE0896" w:rsidP="00024FBD">
      <w:pPr>
        <w:spacing w:after="0" w:line="240" w:lineRule="auto"/>
        <w:jc w:val="both"/>
        <w:rPr>
          <w:rFonts w:cs="Calibri"/>
          <w:b/>
          <w:bCs/>
        </w:rPr>
      </w:pPr>
    </w:p>
    <w:p w14:paraId="67F5387C" w14:textId="5BBD309F" w:rsidR="00024FBD" w:rsidRPr="00024FBD" w:rsidRDefault="00024FBD" w:rsidP="00024FBD">
      <w:pPr>
        <w:spacing w:after="0" w:line="240" w:lineRule="auto"/>
        <w:jc w:val="both"/>
        <w:rPr>
          <w:rFonts w:cs="Calibri"/>
        </w:rPr>
      </w:pPr>
      <w:r w:rsidRPr="00024FBD">
        <w:rPr>
          <w:rFonts w:cs="Calibri"/>
          <w:b/>
          <w:bCs/>
        </w:rPr>
        <w:t>Conclusion</w:t>
      </w:r>
      <w:r w:rsidR="00DE0896">
        <w:rPr>
          <w:rFonts w:cs="Calibri"/>
          <w:b/>
          <w:bCs/>
        </w:rPr>
        <w:t xml:space="preserve"> : </w:t>
      </w:r>
      <w:r w:rsidRPr="00024FBD">
        <w:rPr>
          <w:rFonts w:cs="Calibri"/>
        </w:rPr>
        <w:t>L’accès au dépistage du VIH reste inégal en Guinée. Des stratégies ciblées sont nécessaires, incluant le renforcement des centres communautaires, l’adaptation des services aux populations clés, la décentralisation, l’intégration des soins et la consolidation des partenariats public-privé.</w:t>
      </w:r>
    </w:p>
    <w:p w14:paraId="7B3FBB93" w14:textId="77777777" w:rsidR="00DE0896" w:rsidRDefault="00DE0896" w:rsidP="00024FBD">
      <w:pPr>
        <w:spacing w:after="0" w:line="240" w:lineRule="auto"/>
        <w:jc w:val="both"/>
        <w:rPr>
          <w:rFonts w:cs="Calibri"/>
          <w:b/>
          <w:bCs/>
        </w:rPr>
      </w:pPr>
    </w:p>
    <w:p w14:paraId="4584E1C9" w14:textId="6F4D1586" w:rsidR="00024FBD" w:rsidRPr="00024FBD" w:rsidRDefault="00024FBD" w:rsidP="00024FBD">
      <w:pPr>
        <w:spacing w:after="0" w:line="240" w:lineRule="auto"/>
        <w:jc w:val="both"/>
        <w:rPr>
          <w:rFonts w:cs="Calibri"/>
        </w:rPr>
      </w:pPr>
      <w:r w:rsidRPr="00024FBD">
        <w:rPr>
          <w:rFonts w:cs="Calibri"/>
          <w:b/>
          <w:bCs/>
        </w:rPr>
        <w:t>Mots-clés :</w:t>
      </w:r>
      <w:r w:rsidRPr="00024FBD">
        <w:rPr>
          <w:rFonts w:cs="Calibri"/>
        </w:rPr>
        <w:t xml:space="preserve"> VIH, dépistage, inégalités, analyse spatiale, Guinée.</w:t>
      </w:r>
    </w:p>
    <w:p w14:paraId="1708357E" w14:textId="77777777" w:rsidR="00512558" w:rsidRPr="00327896" w:rsidRDefault="00512558" w:rsidP="00AE34A4">
      <w:pPr>
        <w:spacing w:after="0" w:line="240" w:lineRule="auto"/>
        <w:jc w:val="both"/>
        <w:rPr>
          <w:rFonts w:cs="Calibri"/>
        </w:rPr>
      </w:pPr>
    </w:p>
    <w:sectPr w:rsidR="00512558" w:rsidRPr="003278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30537"/>
    <w:multiLevelType w:val="hybridMultilevel"/>
    <w:tmpl w:val="AF0E1FAE"/>
    <w:lvl w:ilvl="0" w:tplc="D02223BA">
      <w:start w:val="1"/>
      <w:numFmt w:val="decimal"/>
      <w:lvlText w:val="%1."/>
      <w:lvlJc w:val="left"/>
      <w:pPr>
        <w:ind w:left="720" w:hanging="360"/>
      </w:pPr>
      <w:rPr>
        <w:rFonts w:ascii="Calibri" w:eastAsia="Times New Roman" w:hAnsi="Calibri" w:cs="Calibri"/>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AAE46A8"/>
    <w:multiLevelType w:val="hybridMultilevel"/>
    <w:tmpl w:val="9EE2C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2515936">
    <w:abstractNumId w:val="1"/>
  </w:num>
  <w:num w:numId="2" w16cid:durableId="189500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F7"/>
    <w:rsid w:val="00024FBD"/>
    <w:rsid w:val="00125252"/>
    <w:rsid w:val="00136DF0"/>
    <w:rsid w:val="001700F7"/>
    <w:rsid w:val="001A2176"/>
    <w:rsid w:val="0021194F"/>
    <w:rsid w:val="00272F6D"/>
    <w:rsid w:val="002A1878"/>
    <w:rsid w:val="002D46A0"/>
    <w:rsid w:val="003172D0"/>
    <w:rsid w:val="00327896"/>
    <w:rsid w:val="003343DE"/>
    <w:rsid w:val="003E56DF"/>
    <w:rsid w:val="00512558"/>
    <w:rsid w:val="00531127"/>
    <w:rsid w:val="00637B09"/>
    <w:rsid w:val="006C5F89"/>
    <w:rsid w:val="007C3BED"/>
    <w:rsid w:val="00A80571"/>
    <w:rsid w:val="00AE34A4"/>
    <w:rsid w:val="00BA026E"/>
    <w:rsid w:val="00C7027F"/>
    <w:rsid w:val="00DE08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FA8D"/>
  <w15:chartTrackingRefBased/>
  <w15:docId w15:val="{688E713C-BECF-4D84-B531-CDAC36A5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0F7"/>
    <w:pPr>
      <w:spacing w:after="120" w:line="360" w:lineRule="auto"/>
    </w:pPr>
    <w:rPr>
      <w:rFonts w:ascii="Calibri" w:eastAsia="Times New Roman" w:hAnsi="Calibri" w:cs="Times New Roman"/>
      <w:color w:val="000000" w:themeColor="text1"/>
      <w:kern w:val="0"/>
      <w:sz w:val="24"/>
      <w:szCs w:val="24"/>
      <w:lang w:eastAsia="fr-FR"/>
    </w:rPr>
  </w:style>
  <w:style w:type="paragraph" w:styleId="Titre1">
    <w:name w:val="heading 1"/>
    <w:basedOn w:val="Normal"/>
    <w:next w:val="Normal"/>
    <w:link w:val="Titre1Car"/>
    <w:uiPriority w:val="9"/>
    <w:qFormat/>
    <w:rsid w:val="00170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70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00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00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00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00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00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00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00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00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700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00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00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00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00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00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00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00F7"/>
    <w:rPr>
      <w:rFonts w:eastAsiaTheme="majorEastAsia" w:cstheme="majorBidi"/>
      <w:color w:val="272727" w:themeColor="text1" w:themeTint="D8"/>
    </w:rPr>
  </w:style>
  <w:style w:type="paragraph" w:styleId="Titre">
    <w:name w:val="Title"/>
    <w:basedOn w:val="Normal"/>
    <w:next w:val="Normal"/>
    <w:link w:val="TitreCar"/>
    <w:uiPriority w:val="10"/>
    <w:qFormat/>
    <w:rsid w:val="00170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0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00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00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00F7"/>
    <w:pPr>
      <w:spacing w:before="160"/>
      <w:jc w:val="center"/>
    </w:pPr>
    <w:rPr>
      <w:i/>
      <w:iCs/>
      <w:color w:val="404040" w:themeColor="text1" w:themeTint="BF"/>
    </w:rPr>
  </w:style>
  <w:style w:type="character" w:customStyle="1" w:styleId="CitationCar">
    <w:name w:val="Citation Car"/>
    <w:basedOn w:val="Policepardfaut"/>
    <w:link w:val="Citation"/>
    <w:uiPriority w:val="29"/>
    <w:rsid w:val="001700F7"/>
    <w:rPr>
      <w:i/>
      <w:iCs/>
      <w:color w:val="404040" w:themeColor="text1" w:themeTint="BF"/>
    </w:rPr>
  </w:style>
  <w:style w:type="paragraph" w:styleId="Paragraphedeliste">
    <w:name w:val="List Paragraph"/>
    <w:basedOn w:val="Normal"/>
    <w:uiPriority w:val="34"/>
    <w:qFormat/>
    <w:rsid w:val="001700F7"/>
    <w:pPr>
      <w:ind w:left="720"/>
      <w:contextualSpacing/>
    </w:pPr>
  </w:style>
  <w:style w:type="character" w:styleId="Accentuationintense">
    <w:name w:val="Intense Emphasis"/>
    <w:basedOn w:val="Policepardfaut"/>
    <w:uiPriority w:val="21"/>
    <w:qFormat/>
    <w:rsid w:val="001700F7"/>
    <w:rPr>
      <w:i/>
      <w:iCs/>
      <w:color w:val="0F4761" w:themeColor="accent1" w:themeShade="BF"/>
    </w:rPr>
  </w:style>
  <w:style w:type="paragraph" w:styleId="Citationintense">
    <w:name w:val="Intense Quote"/>
    <w:basedOn w:val="Normal"/>
    <w:next w:val="Normal"/>
    <w:link w:val="CitationintenseCar"/>
    <w:uiPriority w:val="30"/>
    <w:qFormat/>
    <w:rsid w:val="00170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00F7"/>
    <w:rPr>
      <w:i/>
      <w:iCs/>
      <w:color w:val="0F4761" w:themeColor="accent1" w:themeShade="BF"/>
    </w:rPr>
  </w:style>
  <w:style w:type="character" w:styleId="Rfrenceintense">
    <w:name w:val="Intense Reference"/>
    <w:basedOn w:val="Policepardfaut"/>
    <w:uiPriority w:val="32"/>
    <w:qFormat/>
    <w:rsid w:val="001700F7"/>
    <w:rPr>
      <w:b/>
      <w:bCs/>
      <w:smallCaps/>
      <w:color w:val="0F4761" w:themeColor="accent1" w:themeShade="BF"/>
      <w:spacing w:val="5"/>
    </w:rPr>
  </w:style>
  <w:style w:type="character" w:styleId="Lienhypertexte">
    <w:name w:val="Hyperlink"/>
    <w:basedOn w:val="Policepardfaut"/>
    <w:uiPriority w:val="99"/>
    <w:unhideWhenUsed/>
    <w:rsid w:val="001700F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997">
      <w:bodyDiv w:val="1"/>
      <w:marLeft w:val="0"/>
      <w:marRight w:val="0"/>
      <w:marTop w:val="0"/>
      <w:marBottom w:val="0"/>
      <w:divBdr>
        <w:top w:val="none" w:sz="0" w:space="0" w:color="auto"/>
        <w:left w:val="none" w:sz="0" w:space="0" w:color="auto"/>
        <w:bottom w:val="none" w:sz="0" w:space="0" w:color="auto"/>
        <w:right w:val="none" w:sz="0" w:space="0" w:color="auto"/>
      </w:divBdr>
    </w:div>
    <w:div w:id="46570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410</Words>
  <Characters>2260</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Niouma Nestor LENO</dc:creator>
  <cp:keywords/>
  <dc:description/>
  <cp:lastModifiedBy>Niouma Nestor LENO</cp:lastModifiedBy>
  <cp:revision>17</cp:revision>
  <dcterms:created xsi:type="dcterms:W3CDTF">2025-06-29T14:18:00Z</dcterms:created>
  <dcterms:modified xsi:type="dcterms:W3CDTF">2025-06-29T14:57:00Z</dcterms:modified>
</cp:coreProperties>
</file>