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6DE5" w14:textId="4348720C" w:rsidR="0072202D" w:rsidRPr="0072202D" w:rsidRDefault="00682292" w:rsidP="00196004">
      <w:pPr>
        <w:spacing w:line="276" w:lineRule="auto"/>
        <w:ind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Titre</w:t>
      </w:r>
      <w:r w:rsidR="00FE656A">
        <w:rPr>
          <w:rFonts w:ascii="Arial" w:hAnsi="Arial" w:cs="Arial"/>
          <w:b/>
          <w:sz w:val="22"/>
        </w:rPr>
        <w:t> :</w:t>
      </w:r>
      <w:r>
        <w:rPr>
          <w:rFonts w:ascii="Arial" w:hAnsi="Arial" w:cs="Arial"/>
          <w:b/>
          <w:sz w:val="22"/>
        </w:rPr>
        <w:t xml:space="preserve"> </w:t>
      </w:r>
      <w:r w:rsidR="009A271E">
        <w:rPr>
          <w:rFonts w:ascii="Arial" w:hAnsi="Arial" w:cs="Arial"/>
          <w:b/>
          <w:sz w:val="22"/>
        </w:rPr>
        <w:t>E</w:t>
      </w:r>
      <w:r w:rsidR="00FE656A">
        <w:rPr>
          <w:rFonts w:ascii="Arial" w:hAnsi="Arial" w:cs="Arial"/>
          <w:b/>
          <w:sz w:val="22"/>
        </w:rPr>
        <w:t>fficacité de l’albendazole dans la gale</w:t>
      </w:r>
      <w:r w:rsidR="009A271E">
        <w:rPr>
          <w:rFonts w:ascii="Arial" w:hAnsi="Arial" w:cs="Arial"/>
          <w:b/>
          <w:sz w:val="22"/>
        </w:rPr>
        <w:t> : une revue systématique de la littérature</w:t>
      </w:r>
    </w:p>
    <w:p w14:paraId="01424535" w14:textId="03C01730" w:rsidR="00175FFF" w:rsidRDefault="00682292" w:rsidP="00196004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FE656A">
        <w:rPr>
          <w:rFonts w:ascii="Arial" w:hAnsi="Arial" w:cs="Arial"/>
          <w:b/>
          <w:bCs/>
          <w:sz w:val="22"/>
          <w:szCs w:val="22"/>
          <w:u w:val="single"/>
        </w:rPr>
        <w:t>errin C</w:t>
      </w:r>
      <w:r w:rsidR="0025252F">
        <w:rPr>
          <w:rFonts w:ascii="Arial" w:hAnsi="Arial" w:cs="Arial"/>
          <w:b/>
          <w:bCs/>
          <w:sz w:val="22"/>
          <w:szCs w:val="22"/>
          <w:u w:val="single"/>
        </w:rPr>
        <w:t>atrayé</w:t>
      </w:r>
      <w:r w:rsidRPr="0068229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1</w:t>
      </w:r>
      <w:bookmarkStart w:id="0" w:name="_Hlk203026295"/>
      <w:r w:rsidR="00175FFF" w:rsidRPr="0072202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656A">
        <w:rPr>
          <w:rFonts w:ascii="Arial" w:hAnsi="Arial" w:cs="Arial"/>
          <w:sz w:val="22"/>
          <w:szCs w:val="22"/>
        </w:rPr>
        <w:t>Akimath</w:t>
      </w:r>
      <w:proofErr w:type="spellEnd"/>
      <w:r w:rsidR="00FE656A">
        <w:rPr>
          <w:rFonts w:ascii="Arial" w:hAnsi="Arial" w:cs="Arial"/>
          <w:sz w:val="22"/>
          <w:szCs w:val="22"/>
        </w:rPr>
        <w:t xml:space="preserve"> Habib</w:t>
      </w:r>
      <w:r w:rsidRPr="00CD67F8">
        <w:rPr>
          <w:rFonts w:ascii="Arial" w:hAnsi="Arial" w:cs="Arial"/>
          <w:sz w:val="22"/>
          <w:szCs w:val="22"/>
          <w:vertAlign w:val="superscript"/>
        </w:rPr>
        <w:t>1</w:t>
      </w:r>
      <w:bookmarkEnd w:id="0"/>
      <w:r w:rsidR="00C9404E" w:rsidRPr="00C9404E">
        <w:rPr>
          <w:rFonts w:ascii="Arial" w:hAnsi="Arial" w:cs="Arial"/>
          <w:sz w:val="22"/>
          <w:szCs w:val="22"/>
        </w:rPr>
        <w:t>,</w:t>
      </w:r>
      <w:r w:rsidR="00D106F8">
        <w:rPr>
          <w:rFonts w:ascii="Arial" w:hAnsi="Arial" w:cs="Arial"/>
          <w:sz w:val="22"/>
          <w:szCs w:val="22"/>
        </w:rPr>
        <w:t xml:space="preserve"> </w:t>
      </w:r>
      <w:r w:rsidR="00C9404E" w:rsidRPr="00CD67F8">
        <w:rPr>
          <w:rFonts w:ascii="Arial" w:hAnsi="Arial" w:cs="Arial"/>
          <w:sz w:val="22"/>
          <w:szCs w:val="22"/>
        </w:rPr>
        <w:t>Roch</w:t>
      </w:r>
      <w:r w:rsidR="00C9404E">
        <w:rPr>
          <w:rFonts w:ascii="Arial" w:hAnsi="Arial" w:cs="Arial"/>
          <w:sz w:val="22"/>
          <w:szCs w:val="22"/>
        </w:rPr>
        <w:t xml:space="preserve"> C. Johnson</w:t>
      </w:r>
      <w:r w:rsidR="00D106F8">
        <w:rPr>
          <w:rFonts w:ascii="Arial" w:hAnsi="Arial" w:cs="Arial"/>
          <w:sz w:val="22"/>
          <w:szCs w:val="22"/>
          <w:vertAlign w:val="superscript"/>
        </w:rPr>
        <w:t> 2</w:t>
      </w:r>
      <w:r w:rsidR="00CF2E98">
        <w:rPr>
          <w:rFonts w:ascii="Arial" w:hAnsi="Arial" w:cs="Arial"/>
          <w:sz w:val="22"/>
          <w:szCs w:val="22"/>
        </w:rPr>
        <w:t>,</w:t>
      </w:r>
      <w:r w:rsidR="00CF2E98" w:rsidRPr="00C9404E">
        <w:rPr>
          <w:rFonts w:ascii="Arial" w:hAnsi="Arial" w:cs="Arial"/>
          <w:sz w:val="22"/>
          <w:szCs w:val="22"/>
        </w:rPr>
        <w:t xml:space="preserve"> Olivier</w:t>
      </w:r>
      <w:r w:rsidR="00C9404E">
        <w:rPr>
          <w:rFonts w:ascii="Arial" w:hAnsi="Arial" w:cs="Arial"/>
          <w:sz w:val="22"/>
          <w:szCs w:val="22"/>
        </w:rPr>
        <w:t xml:space="preserve"> Chosidow</w:t>
      </w:r>
      <w:r w:rsidR="00D106F8">
        <w:rPr>
          <w:rFonts w:ascii="Arial" w:hAnsi="Arial" w:cs="Arial"/>
          <w:sz w:val="22"/>
          <w:szCs w:val="22"/>
          <w:vertAlign w:val="superscript"/>
        </w:rPr>
        <w:t>3</w:t>
      </w:r>
      <w:r w:rsidR="00CF2E98">
        <w:rPr>
          <w:rFonts w:ascii="Arial" w:hAnsi="Arial" w:cs="Arial"/>
          <w:sz w:val="22"/>
          <w:szCs w:val="22"/>
        </w:rPr>
        <w:t>, Vincent</w:t>
      </w:r>
      <w:r w:rsidR="00FE656A">
        <w:rPr>
          <w:rFonts w:ascii="Arial" w:hAnsi="Arial" w:cs="Arial"/>
          <w:sz w:val="22"/>
          <w:szCs w:val="22"/>
        </w:rPr>
        <w:t xml:space="preserve"> Dubée</w:t>
      </w:r>
      <w:r w:rsidR="00D106F8">
        <w:rPr>
          <w:rFonts w:ascii="Arial" w:hAnsi="Arial" w:cs="Arial"/>
          <w:sz w:val="22"/>
          <w:szCs w:val="22"/>
          <w:vertAlign w:val="superscript"/>
        </w:rPr>
        <w:t>4</w:t>
      </w:r>
    </w:p>
    <w:p w14:paraId="4A2DABA1" w14:textId="77777777" w:rsidR="003602E8" w:rsidRPr="0072202D" w:rsidRDefault="003602E8" w:rsidP="00196004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65BCB2" w14:textId="3BC0DC01" w:rsidR="00175FFF" w:rsidRPr="00FA1E8A" w:rsidRDefault="00682292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="00C9404E">
        <w:rPr>
          <w:rFonts w:ascii="Arial" w:hAnsi="Arial" w:cs="Arial"/>
          <w:i/>
          <w:iCs/>
          <w:sz w:val="20"/>
          <w:szCs w:val="20"/>
        </w:rPr>
        <w:t>Centre de Dépistage et Traitement de la Lèpre et de l’Ulcère de Buruli</w:t>
      </w:r>
      <w:r w:rsidR="003602E8">
        <w:rPr>
          <w:rFonts w:ascii="Arial" w:hAnsi="Arial" w:cs="Arial"/>
          <w:i/>
          <w:iCs/>
          <w:sz w:val="20"/>
          <w:szCs w:val="20"/>
        </w:rPr>
        <w:t> « </w:t>
      </w:r>
      <w:r w:rsidR="00A85690">
        <w:rPr>
          <w:rFonts w:ascii="Arial" w:hAnsi="Arial" w:cs="Arial"/>
          <w:i/>
          <w:iCs/>
          <w:sz w:val="20"/>
          <w:szCs w:val="20"/>
        </w:rPr>
        <w:t>Raoul et Madeleine Follereau</w:t>
      </w:r>
      <w:r w:rsidR="003602E8">
        <w:rPr>
          <w:rFonts w:ascii="Arial" w:hAnsi="Arial" w:cs="Arial"/>
          <w:i/>
          <w:iCs/>
          <w:sz w:val="20"/>
          <w:szCs w:val="20"/>
        </w:rPr>
        <w:t> »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>,</w:t>
      </w:r>
      <w:r w:rsidR="00A85690">
        <w:rPr>
          <w:rFonts w:ascii="Arial" w:hAnsi="Arial" w:cs="Arial"/>
          <w:i/>
          <w:iCs/>
          <w:sz w:val="20"/>
          <w:szCs w:val="20"/>
        </w:rPr>
        <w:t xml:space="preserve"> Pobè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A85690">
        <w:rPr>
          <w:rFonts w:ascii="Arial" w:hAnsi="Arial" w:cs="Arial"/>
          <w:i/>
          <w:iCs/>
          <w:sz w:val="20"/>
          <w:szCs w:val="20"/>
        </w:rPr>
        <w:t>Bénin</w:t>
      </w:r>
    </w:p>
    <w:p w14:paraId="280A078C" w14:textId="3712ADFC" w:rsidR="00A85690" w:rsidRDefault="00D106F8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A85690">
        <w:rPr>
          <w:rFonts w:ascii="Arial" w:hAnsi="Arial" w:cs="Arial"/>
          <w:i/>
          <w:iCs/>
          <w:sz w:val="20"/>
          <w:szCs w:val="20"/>
        </w:rPr>
        <w:t xml:space="preserve">Université d’Abomey-Calavi, Centre </w:t>
      </w:r>
      <w:proofErr w:type="spellStart"/>
      <w:r w:rsidR="00A85690">
        <w:rPr>
          <w:rFonts w:ascii="Arial" w:hAnsi="Arial" w:cs="Arial"/>
          <w:i/>
          <w:iCs/>
          <w:sz w:val="20"/>
          <w:szCs w:val="20"/>
        </w:rPr>
        <w:t>Interfacultaire</w:t>
      </w:r>
      <w:proofErr w:type="spellEnd"/>
      <w:r w:rsidR="00A85690">
        <w:rPr>
          <w:rFonts w:ascii="Arial" w:hAnsi="Arial" w:cs="Arial"/>
          <w:i/>
          <w:iCs/>
          <w:sz w:val="20"/>
          <w:szCs w:val="20"/>
        </w:rPr>
        <w:t xml:space="preserve"> de Formation et de Recherche en Environnement et </w:t>
      </w:r>
      <w:r w:rsidR="003602E8">
        <w:rPr>
          <w:rFonts w:ascii="Arial" w:hAnsi="Arial" w:cs="Arial"/>
          <w:i/>
          <w:iCs/>
          <w:sz w:val="20"/>
          <w:szCs w:val="20"/>
        </w:rPr>
        <w:t>Développement</w:t>
      </w:r>
      <w:r w:rsidR="00A85690">
        <w:rPr>
          <w:rFonts w:ascii="Arial" w:hAnsi="Arial" w:cs="Arial"/>
          <w:i/>
          <w:iCs/>
          <w:sz w:val="20"/>
          <w:szCs w:val="20"/>
        </w:rPr>
        <w:t xml:space="preserve"> Durable, Abomey-</w:t>
      </w:r>
      <w:proofErr w:type="spellStart"/>
      <w:r w:rsidR="00A85690">
        <w:rPr>
          <w:rFonts w:ascii="Arial" w:hAnsi="Arial" w:cs="Arial"/>
          <w:i/>
          <w:iCs/>
          <w:sz w:val="20"/>
          <w:szCs w:val="20"/>
        </w:rPr>
        <w:t>calavi</w:t>
      </w:r>
      <w:proofErr w:type="spellEnd"/>
      <w:r w:rsidR="00A85690">
        <w:rPr>
          <w:rFonts w:ascii="Arial" w:hAnsi="Arial" w:cs="Arial"/>
          <w:i/>
          <w:iCs/>
          <w:sz w:val="20"/>
          <w:szCs w:val="20"/>
        </w:rPr>
        <w:t>, Bénin</w:t>
      </w:r>
    </w:p>
    <w:p w14:paraId="19A0002A" w14:textId="7093F73C" w:rsidR="00A85690" w:rsidRDefault="00D106F8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="009A271E" w:rsidRPr="008E15D6">
        <w:rPr>
          <w:rFonts w:ascii="Arial" w:hAnsi="Arial" w:cs="Arial"/>
          <w:i/>
          <w:iCs/>
          <w:sz w:val="20"/>
          <w:szCs w:val="20"/>
        </w:rPr>
        <w:t xml:space="preserve">CHU </w:t>
      </w:r>
      <w:r w:rsidR="009A271E">
        <w:rPr>
          <w:rFonts w:ascii="Arial" w:hAnsi="Arial" w:cs="Arial"/>
          <w:i/>
          <w:iCs/>
          <w:sz w:val="20"/>
          <w:szCs w:val="20"/>
        </w:rPr>
        <w:t xml:space="preserve">Pitié Salpêtrière, </w:t>
      </w:r>
      <w:r w:rsidR="00A85690">
        <w:rPr>
          <w:rFonts w:ascii="Arial" w:hAnsi="Arial" w:cs="Arial"/>
          <w:i/>
          <w:iCs/>
          <w:sz w:val="20"/>
          <w:szCs w:val="20"/>
        </w:rPr>
        <w:t>AP-HP, Paris, France</w:t>
      </w:r>
    </w:p>
    <w:p w14:paraId="39311280" w14:textId="20D2E056" w:rsidR="00A85690" w:rsidRPr="00FA1E8A" w:rsidRDefault="00D106F8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4</w:t>
      </w:r>
      <w:r w:rsidR="009A271E">
        <w:rPr>
          <w:rFonts w:ascii="Arial" w:hAnsi="Arial" w:cs="Arial"/>
          <w:i/>
          <w:iCs/>
          <w:sz w:val="20"/>
          <w:szCs w:val="20"/>
        </w:rPr>
        <w:t xml:space="preserve">CHU d’Angers, Service </w:t>
      </w:r>
      <w:r w:rsidR="00A85690">
        <w:rPr>
          <w:rFonts w:ascii="Arial" w:hAnsi="Arial" w:cs="Arial"/>
          <w:i/>
          <w:iCs/>
          <w:sz w:val="20"/>
          <w:szCs w:val="20"/>
        </w:rPr>
        <w:t>des maladies infectieuses</w:t>
      </w:r>
      <w:r w:rsidR="009A271E">
        <w:rPr>
          <w:rFonts w:ascii="Arial" w:hAnsi="Arial" w:cs="Arial"/>
          <w:i/>
          <w:iCs/>
          <w:sz w:val="20"/>
          <w:szCs w:val="20"/>
        </w:rPr>
        <w:t xml:space="preserve"> et Tropicales</w:t>
      </w:r>
      <w:r w:rsidR="00A85690">
        <w:rPr>
          <w:rFonts w:ascii="Arial" w:hAnsi="Arial" w:cs="Arial"/>
          <w:i/>
          <w:iCs/>
          <w:sz w:val="20"/>
          <w:szCs w:val="20"/>
        </w:rPr>
        <w:t>, Angers, France</w:t>
      </w:r>
    </w:p>
    <w:p w14:paraId="6804EC94" w14:textId="1EF8DBB8" w:rsidR="00175FFF" w:rsidRPr="00FA1E8A" w:rsidRDefault="00175FFF" w:rsidP="00682292">
      <w:pPr>
        <w:pStyle w:val="Sansinterligne"/>
        <w:spacing w:before="24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Auteur correspondant : </w:t>
      </w:r>
      <w:r w:rsidR="00682292" w:rsidRPr="00FA1E8A">
        <w:rPr>
          <w:rFonts w:ascii="Arial" w:hAnsi="Arial" w:cs="Arial"/>
          <w:sz w:val="20"/>
          <w:szCs w:val="20"/>
        </w:rPr>
        <w:t>P</w:t>
      </w:r>
      <w:r w:rsidR="00C9404E">
        <w:rPr>
          <w:rFonts w:ascii="Arial" w:hAnsi="Arial" w:cs="Arial"/>
          <w:sz w:val="20"/>
          <w:szCs w:val="20"/>
        </w:rPr>
        <w:t>errin CATRAYE</w:t>
      </w:r>
    </w:p>
    <w:p w14:paraId="1FF4CEFF" w14:textId="1C677CE7" w:rsidR="00175FFF" w:rsidRPr="00FA1E8A" w:rsidRDefault="00175FFF" w:rsidP="00FA1E8A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Email auteur correspondant : </w:t>
      </w:r>
      <w:hyperlink r:id="rId4" w:history="1">
        <w:r w:rsidR="00C9404E" w:rsidRPr="00966469">
          <w:rPr>
            <w:rStyle w:val="Lienhypertexte"/>
            <w:sz w:val="20"/>
            <w:szCs w:val="20"/>
          </w:rPr>
          <w:t>catrayem@yahoo.fr</w:t>
        </w:r>
      </w:hyperlink>
      <w:r w:rsidR="00682292" w:rsidRPr="00FA1E8A">
        <w:rPr>
          <w:sz w:val="20"/>
          <w:szCs w:val="20"/>
        </w:rPr>
        <w:t xml:space="preserve"> </w:t>
      </w:r>
    </w:p>
    <w:p w14:paraId="4C72FD77" w14:textId="5C211DC1" w:rsidR="00A0617F" w:rsidRPr="003602E8" w:rsidRDefault="00A0617F" w:rsidP="003602E8">
      <w:pPr>
        <w:spacing w:before="240"/>
        <w:ind w:firstLine="0"/>
        <w:rPr>
          <w:rFonts w:ascii="Arial" w:hAnsi="Arial" w:cs="Arial"/>
          <w:b/>
          <w:sz w:val="22"/>
        </w:rPr>
      </w:pPr>
      <w:r w:rsidRPr="003602E8">
        <w:rPr>
          <w:rFonts w:ascii="Arial" w:hAnsi="Arial" w:cs="Arial"/>
          <w:b/>
          <w:sz w:val="22"/>
        </w:rPr>
        <w:t xml:space="preserve">Résumé </w:t>
      </w:r>
    </w:p>
    <w:p w14:paraId="51C7B4AA" w14:textId="27AFAD1D" w:rsidR="00682292" w:rsidRPr="003602E8" w:rsidRDefault="00682292" w:rsidP="003602E8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2"/>
        </w:rPr>
      </w:pPr>
      <w:r w:rsidRPr="003602E8">
        <w:rPr>
          <w:rFonts w:ascii="Arial" w:hAnsi="Arial" w:cs="Arial"/>
          <w:b/>
          <w:iCs/>
          <w:sz w:val="22"/>
        </w:rPr>
        <w:t>Contexte</w:t>
      </w:r>
      <w:r w:rsidR="00D17BCB" w:rsidRPr="003602E8">
        <w:rPr>
          <w:rFonts w:ascii="Arial" w:hAnsi="Arial" w:cs="Arial"/>
          <w:b/>
          <w:iCs/>
          <w:sz w:val="22"/>
        </w:rPr>
        <w:t xml:space="preserve"> : </w:t>
      </w:r>
      <w:r w:rsidR="00B31877" w:rsidRPr="003602E8">
        <w:rPr>
          <w:rFonts w:ascii="Arial" w:hAnsi="Arial" w:cs="Arial"/>
          <w:iCs/>
          <w:sz w:val="22"/>
        </w:rPr>
        <w:t>La gale représente un enjeu de santé publique</w:t>
      </w:r>
      <w:r w:rsidR="0061762C" w:rsidRPr="003602E8">
        <w:rPr>
          <w:rFonts w:ascii="Arial" w:hAnsi="Arial" w:cs="Arial"/>
          <w:iCs/>
          <w:sz w:val="22"/>
        </w:rPr>
        <w:t xml:space="preserve"> avec </w:t>
      </w:r>
      <w:r w:rsidR="00B17C4E">
        <w:rPr>
          <w:rFonts w:ascii="Arial" w:hAnsi="Arial" w:cs="Arial"/>
          <w:iCs/>
          <w:sz w:val="22"/>
        </w:rPr>
        <w:t>environ</w:t>
      </w:r>
      <w:r w:rsidR="0061762C" w:rsidRPr="003602E8">
        <w:rPr>
          <w:rFonts w:ascii="Arial" w:hAnsi="Arial" w:cs="Arial"/>
          <w:iCs/>
          <w:sz w:val="22"/>
        </w:rPr>
        <w:t xml:space="preserve"> 200 millions de personnes atteintes au plan mondial</w:t>
      </w:r>
      <w:r w:rsidR="00B31877" w:rsidRPr="003602E8">
        <w:rPr>
          <w:rFonts w:ascii="Arial" w:hAnsi="Arial" w:cs="Arial"/>
          <w:iCs/>
          <w:sz w:val="22"/>
        </w:rPr>
        <w:t>.</w:t>
      </w:r>
      <w:r w:rsidR="00D77C8F">
        <w:rPr>
          <w:rFonts w:ascii="Arial" w:hAnsi="Arial" w:cs="Arial"/>
          <w:iCs/>
          <w:sz w:val="22"/>
        </w:rPr>
        <w:t xml:space="preserve"> </w:t>
      </w:r>
      <w:r w:rsidR="00C116CF">
        <w:rPr>
          <w:rFonts w:ascii="Arial" w:hAnsi="Arial" w:cs="Arial"/>
          <w:iCs/>
          <w:sz w:val="22"/>
        </w:rPr>
        <w:t xml:space="preserve">Elle est particulièrement prévalente dans les pays les moins avancés. </w:t>
      </w:r>
      <w:r w:rsidR="00B31877" w:rsidRPr="003602E8">
        <w:rPr>
          <w:rFonts w:ascii="Arial" w:hAnsi="Arial" w:cs="Arial"/>
          <w:iCs/>
          <w:sz w:val="22"/>
        </w:rPr>
        <w:t xml:space="preserve">Les traitements habituels reposent sur la </w:t>
      </w:r>
      <w:r w:rsidR="005A2764" w:rsidRPr="003602E8">
        <w:rPr>
          <w:rFonts w:ascii="Arial" w:hAnsi="Arial" w:cs="Arial"/>
          <w:iCs/>
          <w:sz w:val="22"/>
        </w:rPr>
        <w:t>perméthrine</w:t>
      </w:r>
      <w:r w:rsidR="00B31877" w:rsidRPr="003602E8">
        <w:rPr>
          <w:rFonts w:ascii="Arial" w:hAnsi="Arial" w:cs="Arial"/>
          <w:iCs/>
          <w:sz w:val="22"/>
        </w:rPr>
        <w:t xml:space="preserve"> </w:t>
      </w:r>
      <w:r w:rsidR="005A2764" w:rsidRPr="003602E8">
        <w:rPr>
          <w:rFonts w:ascii="Arial" w:hAnsi="Arial" w:cs="Arial"/>
          <w:iCs/>
          <w:sz w:val="22"/>
        </w:rPr>
        <w:t>topique,</w:t>
      </w:r>
      <w:r w:rsidR="00B31877" w:rsidRPr="003602E8">
        <w:rPr>
          <w:rFonts w:ascii="Arial" w:hAnsi="Arial" w:cs="Arial"/>
          <w:iCs/>
          <w:sz w:val="22"/>
        </w:rPr>
        <w:t xml:space="preserve"> l’</w:t>
      </w:r>
      <w:proofErr w:type="spellStart"/>
      <w:r w:rsidR="00B31877" w:rsidRPr="003602E8">
        <w:rPr>
          <w:rFonts w:ascii="Arial" w:hAnsi="Arial" w:cs="Arial"/>
          <w:iCs/>
          <w:sz w:val="22"/>
        </w:rPr>
        <w:t>ivermectine</w:t>
      </w:r>
      <w:proofErr w:type="spellEnd"/>
      <w:r w:rsidR="00B31877" w:rsidRPr="003602E8">
        <w:rPr>
          <w:rFonts w:ascii="Arial" w:hAnsi="Arial" w:cs="Arial"/>
          <w:iCs/>
          <w:sz w:val="22"/>
        </w:rPr>
        <w:t xml:space="preserve"> orale</w:t>
      </w:r>
      <w:r w:rsidR="005A2764" w:rsidRPr="003602E8">
        <w:rPr>
          <w:rFonts w:ascii="Arial" w:hAnsi="Arial" w:cs="Arial"/>
          <w:iCs/>
          <w:sz w:val="22"/>
        </w:rPr>
        <w:t xml:space="preserve"> et le </w:t>
      </w:r>
      <w:r w:rsidR="00EE547B">
        <w:rPr>
          <w:rFonts w:ascii="Arial" w:hAnsi="Arial" w:cs="Arial"/>
          <w:iCs/>
          <w:sz w:val="22"/>
        </w:rPr>
        <w:t>b</w:t>
      </w:r>
      <w:r w:rsidR="005A2764" w:rsidRPr="003602E8">
        <w:rPr>
          <w:rFonts w:ascii="Arial" w:hAnsi="Arial" w:cs="Arial"/>
          <w:iCs/>
          <w:sz w:val="22"/>
        </w:rPr>
        <w:t xml:space="preserve">enzoate de </w:t>
      </w:r>
      <w:proofErr w:type="spellStart"/>
      <w:r w:rsidR="00EE547B">
        <w:rPr>
          <w:rFonts w:ascii="Arial" w:hAnsi="Arial" w:cs="Arial"/>
          <w:iCs/>
          <w:sz w:val="22"/>
        </w:rPr>
        <w:t>b</w:t>
      </w:r>
      <w:r w:rsidR="005A2764" w:rsidRPr="003602E8">
        <w:rPr>
          <w:rFonts w:ascii="Arial" w:hAnsi="Arial" w:cs="Arial"/>
          <w:iCs/>
          <w:sz w:val="22"/>
        </w:rPr>
        <w:t>enzyl</w:t>
      </w:r>
      <w:proofErr w:type="spellEnd"/>
      <w:r w:rsidR="005A2764" w:rsidRPr="003602E8">
        <w:rPr>
          <w:rFonts w:ascii="Arial" w:hAnsi="Arial" w:cs="Arial"/>
          <w:iCs/>
          <w:sz w:val="22"/>
        </w:rPr>
        <w:t xml:space="preserve"> topique</w:t>
      </w:r>
      <w:r w:rsidR="00B31877" w:rsidRPr="003602E8">
        <w:rPr>
          <w:rFonts w:ascii="Arial" w:hAnsi="Arial" w:cs="Arial"/>
          <w:iCs/>
          <w:sz w:val="22"/>
        </w:rPr>
        <w:t xml:space="preserve">. Toutefois, </w:t>
      </w:r>
      <w:r w:rsidR="005A2764" w:rsidRPr="003602E8">
        <w:rPr>
          <w:rFonts w:ascii="Arial" w:hAnsi="Arial" w:cs="Arial"/>
          <w:iCs/>
          <w:sz w:val="22"/>
        </w:rPr>
        <w:t>le coût</w:t>
      </w:r>
      <w:r w:rsidR="001F6C21">
        <w:rPr>
          <w:rFonts w:ascii="Arial" w:hAnsi="Arial" w:cs="Arial"/>
          <w:iCs/>
          <w:sz w:val="22"/>
        </w:rPr>
        <w:t xml:space="preserve"> de ces médicaments</w:t>
      </w:r>
      <w:r w:rsidR="005A2764" w:rsidRPr="003602E8">
        <w:rPr>
          <w:rFonts w:ascii="Arial" w:hAnsi="Arial" w:cs="Arial"/>
          <w:iCs/>
          <w:sz w:val="22"/>
        </w:rPr>
        <w:t xml:space="preserve">, </w:t>
      </w:r>
      <w:r w:rsidR="00EB1DFD">
        <w:rPr>
          <w:rFonts w:ascii="Arial" w:hAnsi="Arial" w:cs="Arial"/>
          <w:iCs/>
          <w:sz w:val="22"/>
        </w:rPr>
        <w:t xml:space="preserve">leur tolérance variable, </w:t>
      </w:r>
      <w:r w:rsidR="00B31877" w:rsidRPr="003602E8">
        <w:rPr>
          <w:rFonts w:ascii="Arial" w:hAnsi="Arial" w:cs="Arial"/>
          <w:iCs/>
          <w:sz w:val="22"/>
        </w:rPr>
        <w:t>l</w:t>
      </w:r>
      <w:r w:rsidR="00916EA1">
        <w:rPr>
          <w:rFonts w:ascii="Arial" w:hAnsi="Arial" w:cs="Arial"/>
          <w:iCs/>
          <w:sz w:val="22"/>
        </w:rPr>
        <w:t xml:space="preserve">eur </w:t>
      </w:r>
      <w:r w:rsidR="00B31877" w:rsidRPr="003602E8">
        <w:rPr>
          <w:rFonts w:ascii="Arial" w:hAnsi="Arial" w:cs="Arial"/>
          <w:iCs/>
          <w:sz w:val="22"/>
        </w:rPr>
        <w:t xml:space="preserve">accessibilité </w:t>
      </w:r>
      <w:r w:rsidR="00916EA1">
        <w:rPr>
          <w:rFonts w:ascii="Arial" w:hAnsi="Arial" w:cs="Arial"/>
          <w:iCs/>
          <w:sz w:val="22"/>
        </w:rPr>
        <w:t>et leur efficacité inconstante constituent des limites à leur utilisatio</w:t>
      </w:r>
      <w:r w:rsidR="00CB53C6">
        <w:rPr>
          <w:rFonts w:ascii="Arial" w:hAnsi="Arial" w:cs="Arial"/>
          <w:iCs/>
          <w:sz w:val="22"/>
        </w:rPr>
        <w:t>n</w:t>
      </w:r>
      <w:r w:rsidR="00916EA1">
        <w:rPr>
          <w:rFonts w:ascii="Arial" w:hAnsi="Arial" w:cs="Arial"/>
          <w:iCs/>
          <w:sz w:val="22"/>
        </w:rPr>
        <w:t>.</w:t>
      </w:r>
      <w:r w:rsidR="00D77C8F">
        <w:rPr>
          <w:rFonts w:ascii="Arial" w:hAnsi="Arial" w:cs="Arial"/>
          <w:iCs/>
          <w:sz w:val="22"/>
        </w:rPr>
        <w:t xml:space="preserve"> </w:t>
      </w:r>
      <w:r w:rsidR="00916EA1">
        <w:rPr>
          <w:rFonts w:ascii="Arial" w:hAnsi="Arial" w:cs="Arial"/>
          <w:iCs/>
          <w:sz w:val="22"/>
        </w:rPr>
        <w:t>L’albendazole</w:t>
      </w:r>
      <w:r w:rsidR="0081227E">
        <w:rPr>
          <w:rFonts w:ascii="Arial" w:hAnsi="Arial" w:cs="Arial"/>
          <w:iCs/>
          <w:sz w:val="22"/>
        </w:rPr>
        <w:t xml:space="preserve">, </w:t>
      </w:r>
      <w:r w:rsidR="00916EA1">
        <w:rPr>
          <w:rFonts w:ascii="Arial" w:hAnsi="Arial" w:cs="Arial"/>
          <w:iCs/>
          <w:sz w:val="22"/>
        </w:rPr>
        <w:t>un antiparasitaire à large spectre</w:t>
      </w:r>
      <w:r w:rsidR="00EB1DFD">
        <w:rPr>
          <w:rFonts w:ascii="Arial" w:hAnsi="Arial" w:cs="Arial"/>
          <w:iCs/>
          <w:sz w:val="22"/>
        </w:rPr>
        <w:t>, peu coûteux et</w:t>
      </w:r>
      <w:r w:rsidR="00916EA1">
        <w:rPr>
          <w:rFonts w:ascii="Arial" w:hAnsi="Arial" w:cs="Arial"/>
          <w:iCs/>
          <w:sz w:val="22"/>
        </w:rPr>
        <w:t xml:space="preserve"> </w:t>
      </w:r>
      <w:r w:rsidR="00EB1DFD">
        <w:rPr>
          <w:rFonts w:ascii="Arial" w:hAnsi="Arial" w:cs="Arial"/>
          <w:iCs/>
          <w:sz w:val="22"/>
        </w:rPr>
        <w:t>très utilisé</w:t>
      </w:r>
      <w:r w:rsidR="00916EA1">
        <w:rPr>
          <w:rFonts w:ascii="Arial" w:hAnsi="Arial" w:cs="Arial"/>
          <w:iCs/>
          <w:sz w:val="22"/>
        </w:rPr>
        <w:t xml:space="preserve"> pourrait </w:t>
      </w:r>
      <w:r w:rsidR="0081227E">
        <w:rPr>
          <w:rFonts w:ascii="Arial" w:hAnsi="Arial" w:cs="Arial"/>
          <w:iCs/>
          <w:sz w:val="22"/>
        </w:rPr>
        <w:t>représenter une alternative</w:t>
      </w:r>
      <w:r w:rsidR="005A2764" w:rsidRPr="003602E8">
        <w:rPr>
          <w:rFonts w:ascii="Arial" w:hAnsi="Arial" w:cs="Arial"/>
          <w:iCs/>
          <w:sz w:val="22"/>
        </w:rPr>
        <w:t>.</w:t>
      </w:r>
    </w:p>
    <w:p w14:paraId="32D8E9D9" w14:textId="7C895C35" w:rsidR="00A0617F" w:rsidRPr="003602E8" w:rsidRDefault="00682292" w:rsidP="003602E8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2"/>
        </w:rPr>
      </w:pPr>
      <w:r w:rsidRPr="003602E8">
        <w:rPr>
          <w:rFonts w:ascii="Arial" w:hAnsi="Arial" w:cs="Arial"/>
          <w:b/>
          <w:bCs/>
          <w:iCs/>
          <w:sz w:val="22"/>
        </w:rPr>
        <w:t>Objectif</w:t>
      </w:r>
      <w:r w:rsidR="00D17BCB" w:rsidRPr="003602E8">
        <w:rPr>
          <w:rFonts w:ascii="Arial" w:hAnsi="Arial" w:cs="Arial"/>
          <w:b/>
          <w:bCs/>
          <w:iCs/>
          <w:sz w:val="22"/>
        </w:rPr>
        <w:t xml:space="preserve"> : </w:t>
      </w:r>
      <w:r w:rsidR="00B31877" w:rsidRPr="003602E8">
        <w:rPr>
          <w:rFonts w:ascii="Arial" w:hAnsi="Arial" w:cs="Arial"/>
          <w:iCs/>
          <w:sz w:val="22"/>
        </w:rPr>
        <w:t>Evaluer l’efficacité de l’albendazole dans le traitement de la gale à travers une revue</w:t>
      </w:r>
      <w:r w:rsidR="009A271E">
        <w:rPr>
          <w:rFonts w:ascii="Arial" w:hAnsi="Arial" w:cs="Arial"/>
          <w:iCs/>
          <w:sz w:val="22"/>
        </w:rPr>
        <w:t xml:space="preserve"> systématique</w:t>
      </w:r>
      <w:r w:rsidR="00B31877" w:rsidRPr="003602E8">
        <w:rPr>
          <w:rFonts w:ascii="Arial" w:hAnsi="Arial" w:cs="Arial"/>
          <w:iCs/>
          <w:sz w:val="22"/>
        </w:rPr>
        <w:t xml:space="preserve"> de</w:t>
      </w:r>
      <w:r w:rsidR="00EB1DFD">
        <w:rPr>
          <w:rFonts w:ascii="Arial" w:hAnsi="Arial" w:cs="Arial"/>
          <w:iCs/>
          <w:sz w:val="22"/>
        </w:rPr>
        <w:t xml:space="preserve"> la</w:t>
      </w:r>
      <w:r w:rsidR="00B31877" w:rsidRPr="003602E8">
        <w:rPr>
          <w:rFonts w:ascii="Arial" w:hAnsi="Arial" w:cs="Arial"/>
          <w:iCs/>
          <w:sz w:val="22"/>
        </w:rPr>
        <w:t xml:space="preserve"> littérature</w:t>
      </w:r>
      <w:r w:rsidR="00EB1DFD">
        <w:rPr>
          <w:rFonts w:ascii="Arial" w:hAnsi="Arial" w:cs="Arial"/>
          <w:iCs/>
          <w:sz w:val="22"/>
        </w:rPr>
        <w:t>.</w:t>
      </w:r>
    </w:p>
    <w:p w14:paraId="1C62C0BF" w14:textId="0E7CE85F" w:rsidR="00A0617F" w:rsidRPr="003602E8" w:rsidRDefault="00A0617F" w:rsidP="003602E8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2"/>
          <w:lang w:val="en-GB"/>
        </w:rPr>
      </w:pPr>
      <w:r w:rsidRPr="003602E8">
        <w:rPr>
          <w:rFonts w:ascii="Arial" w:hAnsi="Arial" w:cs="Arial"/>
          <w:b/>
          <w:bCs/>
          <w:iCs/>
          <w:sz w:val="22"/>
        </w:rPr>
        <w:t>Méthode</w:t>
      </w:r>
      <w:r w:rsidR="00D17BCB" w:rsidRPr="003602E8">
        <w:rPr>
          <w:rFonts w:ascii="Arial" w:hAnsi="Arial" w:cs="Arial"/>
          <w:b/>
          <w:bCs/>
          <w:iCs/>
          <w:sz w:val="22"/>
        </w:rPr>
        <w:t xml:space="preserve"> : </w:t>
      </w:r>
      <w:r w:rsidR="00B31877" w:rsidRPr="003602E8">
        <w:rPr>
          <w:rFonts w:ascii="Arial" w:hAnsi="Arial" w:cs="Arial"/>
          <w:iCs/>
          <w:sz w:val="22"/>
        </w:rPr>
        <w:t xml:space="preserve">Une recherche bibliographique a été conduite </w:t>
      </w:r>
      <w:r w:rsidR="00EB1DFD">
        <w:rPr>
          <w:rFonts w:ascii="Arial" w:hAnsi="Arial" w:cs="Arial"/>
          <w:iCs/>
          <w:sz w:val="22"/>
        </w:rPr>
        <w:t xml:space="preserve">en mars 2025 en interrogeant les bases </w:t>
      </w:r>
      <w:r w:rsidR="00B31877" w:rsidRPr="003602E8">
        <w:rPr>
          <w:rFonts w:ascii="Arial" w:hAnsi="Arial" w:cs="Arial"/>
          <w:iCs/>
          <w:sz w:val="22"/>
        </w:rPr>
        <w:t xml:space="preserve">PubMed, Google Scholar et </w:t>
      </w:r>
      <w:r w:rsidR="008E15D6" w:rsidRPr="003602E8">
        <w:rPr>
          <w:rFonts w:ascii="Arial" w:hAnsi="Arial" w:cs="Arial"/>
          <w:iCs/>
          <w:sz w:val="22"/>
        </w:rPr>
        <w:t>Cochrane</w:t>
      </w:r>
      <w:r w:rsidR="00B31877" w:rsidRPr="003602E8">
        <w:rPr>
          <w:rFonts w:ascii="Arial" w:hAnsi="Arial" w:cs="Arial"/>
          <w:iCs/>
          <w:sz w:val="22"/>
        </w:rPr>
        <w:t xml:space="preserve"> Library</w:t>
      </w:r>
      <w:r w:rsidR="00EB1DFD">
        <w:rPr>
          <w:rFonts w:ascii="Arial" w:hAnsi="Arial" w:cs="Arial"/>
          <w:iCs/>
          <w:sz w:val="22"/>
        </w:rPr>
        <w:t>,</w:t>
      </w:r>
      <w:r w:rsidR="00B31877" w:rsidRPr="003602E8">
        <w:rPr>
          <w:rFonts w:ascii="Arial" w:hAnsi="Arial" w:cs="Arial"/>
          <w:iCs/>
          <w:sz w:val="22"/>
        </w:rPr>
        <w:t xml:space="preserve"> avec les mots clés « </w:t>
      </w:r>
      <w:r w:rsidR="00B31877" w:rsidRPr="008E15D6">
        <w:rPr>
          <w:rFonts w:ascii="Arial" w:hAnsi="Arial" w:cs="Arial"/>
          <w:i/>
          <w:sz w:val="22"/>
        </w:rPr>
        <w:t>albendazole</w:t>
      </w:r>
      <w:r w:rsidR="00B31877" w:rsidRPr="003602E8">
        <w:rPr>
          <w:rFonts w:ascii="Arial" w:hAnsi="Arial" w:cs="Arial"/>
          <w:iCs/>
          <w:sz w:val="22"/>
        </w:rPr>
        <w:t> </w:t>
      </w:r>
      <w:r w:rsidR="0061762C" w:rsidRPr="003602E8">
        <w:rPr>
          <w:rFonts w:ascii="Arial" w:hAnsi="Arial" w:cs="Arial"/>
          <w:iCs/>
          <w:sz w:val="22"/>
        </w:rPr>
        <w:t>»</w:t>
      </w:r>
      <w:r w:rsidR="00EB1DFD">
        <w:rPr>
          <w:rFonts w:ascii="Arial" w:hAnsi="Arial" w:cs="Arial"/>
          <w:iCs/>
          <w:sz w:val="22"/>
        </w:rPr>
        <w:t xml:space="preserve"> et</w:t>
      </w:r>
      <w:r w:rsidR="00B31877" w:rsidRPr="003602E8">
        <w:rPr>
          <w:rFonts w:ascii="Arial" w:hAnsi="Arial" w:cs="Arial"/>
          <w:iCs/>
          <w:sz w:val="22"/>
        </w:rPr>
        <w:t xml:space="preserve"> « </w:t>
      </w:r>
      <w:proofErr w:type="spellStart"/>
      <w:r w:rsidR="00B31877" w:rsidRPr="008E15D6">
        <w:rPr>
          <w:rFonts w:ascii="Arial" w:hAnsi="Arial" w:cs="Arial"/>
          <w:i/>
          <w:sz w:val="22"/>
        </w:rPr>
        <w:t>scabies</w:t>
      </w:r>
      <w:proofErr w:type="spellEnd"/>
      <w:r w:rsidR="00EB1DFD">
        <w:rPr>
          <w:rFonts w:ascii="Arial" w:hAnsi="Arial" w:cs="Arial"/>
          <w:iCs/>
          <w:sz w:val="22"/>
        </w:rPr>
        <w:t> »</w:t>
      </w:r>
      <w:r w:rsidR="00A71889" w:rsidRPr="003602E8">
        <w:rPr>
          <w:rFonts w:ascii="Arial" w:hAnsi="Arial" w:cs="Arial"/>
          <w:iCs/>
          <w:sz w:val="22"/>
        </w:rPr>
        <w:t>. Les études incluses comprenaient les essais cliniques et des rapports de cas.</w:t>
      </w:r>
      <w:r w:rsidR="00EB1DFD">
        <w:rPr>
          <w:rFonts w:ascii="Arial" w:hAnsi="Arial" w:cs="Arial"/>
          <w:iCs/>
          <w:sz w:val="22"/>
        </w:rPr>
        <w:t xml:space="preserve"> Les références des études sélectionnées ont été examinées afin de s’assurer de l’exhaustivité de la recherche.</w:t>
      </w:r>
    </w:p>
    <w:p w14:paraId="26800709" w14:textId="6C2FC148" w:rsidR="00AE41C4" w:rsidRPr="003602E8" w:rsidRDefault="00A0617F" w:rsidP="003602E8">
      <w:pPr>
        <w:spacing w:after="0"/>
        <w:ind w:firstLine="0"/>
        <w:rPr>
          <w:rFonts w:ascii="Arial" w:hAnsi="Arial" w:cs="Arial"/>
          <w:sz w:val="22"/>
        </w:rPr>
      </w:pPr>
      <w:r w:rsidRPr="003602E8">
        <w:rPr>
          <w:rFonts w:ascii="Arial" w:hAnsi="Arial" w:cs="Arial"/>
          <w:b/>
          <w:bCs/>
          <w:iCs/>
          <w:sz w:val="22"/>
        </w:rPr>
        <w:t>Résultats</w:t>
      </w:r>
      <w:r w:rsidR="00D17BCB" w:rsidRPr="003602E8">
        <w:rPr>
          <w:rFonts w:ascii="Arial" w:hAnsi="Arial" w:cs="Arial"/>
          <w:b/>
          <w:bCs/>
          <w:iCs/>
          <w:sz w:val="22"/>
        </w:rPr>
        <w:t xml:space="preserve"> : </w:t>
      </w:r>
      <w:r w:rsidR="00B06E93">
        <w:rPr>
          <w:rFonts w:ascii="Arial" w:hAnsi="Arial" w:cs="Arial"/>
          <w:sz w:val="22"/>
        </w:rPr>
        <w:t>Deux</w:t>
      </w:r>
      <w:r w:rsidR="00A71889" w:rsidRPr="003602E8">
        <w:rPr>
          <w:rFonts w:ascii="Arial" w:hAnsi="Arial" w:cs="Arial"/>
          <w:sz w:val="22"/>
        </w:rPr>
        <w:t xml:space="preserve"> essais cliniques </w:t>
      </w:r>
      <w:r w:rsidR="001F6C21">
        <w:rPr>
          <w:rFonts w:ascii="Arial" w:hAnsi="Arial" w:cs="Arial"/>
          <w:sz w:val="22"/>
        </w:rPr>
        <w:t>randomisés</w:t>
      </w:r>
      <w:r w:rsidR="00CF2E98">
        <w:rPr>
          <w:rFonts w:ascii="Arial" w:hAnsi="Arial" w:cs="Arial"/>
          <w:sz w:val="22"/>
        </w:rPr>
        <w:t xml:space="preserve"> à deux bras de traitement</w:t>
      </w:r>
      <w:r w:rsidR="001F6C21">
        <w:rPr>
          <w:rFonts w:ascii="Arial" w:hAnsi="Arial" w:cs="Arial"/>
          <w:sz w:val="22"/>
        </w:rPr>
        <w:t xml:space="preserve"> </w:t>
      </w:r>
      <w:r w:rsidR="00A71889" w:rsidRPr="003602E8">
        <w:rPr>
          <w:rFonts w:ascii="Arial" w:hAnsi="Arial" w:cs="Arial"/>
          <w:sz w:val="22"/>
        </w:rPr>
        <w:t xml:space="preserve">et </w:t>
      </w:r>
      <w:r w:rsidR="00B50698">
        <w:rPr>
          <w:rFonts w:ascii="Arial" w:hAnsi="Arial" w:cs="Arial"/>
          <w:sz w:val="22"/>
        </w:rPr>
        <w:t>quatre</w:t>
      </w:r>
      <w:r w:rsidR="00A71889" w:rsidRPr="003602E8">
        <w:rPr>
          <w:rFonts w:ascii="Arial" w:hAnsi="Arial" w:cs="Arial"/>
          <w:sz w:val="22"/>
        </w:rPr>
        <w:t xml:space="preserve"> rapports de cas</w:t>
      </w:r>
      <w:r w:rsidR="007F3D4B">
        <w:rPr>
          <w:rFonts w:ascii="Arial" w:hAnsi="Arial" w:cs="Arial"/>
          <w:sz w:val="22"/>
        </w:rPr>
        <w:t xml:space="preserve"> </w:t>
      </w:r>
      <w:r w:rsidR="007F3D4B" w:rsidRPr="007F3D4B">
        <w:rPr>
          <w:rFonts w:ascii="Arial" w:hAnsi="Arial" w:cs="Arial"/>
          <w:sz w:val="22"/>
        </w:rPr>
        <w:t>ont été identifiées</w:t>
      </w:r>
      <w:r w:rsidR="001F6C21">
        <w:rPr>
          <w:rFonts w:ascii="Arial" w:hAnsi="Arial" w:cs="Arial"/>
          <w:sz w:val="22"/>
        </w:rPr>
        <w:t>. Les rapports de cas</w:t>
      </w:r>
      <w:r w:rsidR="00EB1DFD">
        <w:rPr>
          <w:rFonts w:ascii="Arial" w:hAnsi="Arial" w:cs="Arial"/>
          <w:sz w:val="22"/>
        </w:rPr>
        <w:t xml:space="preserve"> </w:t>
      </w:r>
      <w:r w:rsidR="00AE41C4">
        <w:rPr>
          <w:rFonts w:ascii="Arial" w:hAnsi="Arial" w:cs="Arial"/>
          <w:sz w:val="22"/>
        </w:rPr>
        <w:t>porta</w:t>
      </w:r>
      <w:r w:rsidR="001F6C21">
        <w:rPr>
          <w:rFonts w:ascii="Arial" w:hAnsi="Arial" w:cs="Arial"/>
          <w:sz w:val="22"/>
        </w:rPr>
        <w:t>ien</w:t>
      </w:r>
      <w:r w:rsidR="00AE41C4">
        <w:rPr>
          <w:rFonts w:ascii="Arial" w:hAnsi="Arial" w:cs="Arial"/>
          <w:sz w:val="22"/>
        </w:rPr>
        <w:t xml:space="preserve">t sur </w:t>
      </w:r>
      <w:r w:rsidR="001F6C21">
        <w:rPr>
          <w:rFonts w:ascii="Arial" w:hAnsi="Arial" w:cs="Arial"/>
          <w:sz w:val="22"/>
        </w:rPr>
        <w:t>cinq</w:t>
      </w:r>
      <w:r w:rsidR="00735E74">
        <w:rPr>
          <w:rFonts w:ascii="Arial" w:hAnsi="Arial" w:cs="Arial"/>
          <w:sz w:val="22"/>
        </w:rPr>
        <w:t xml:space="preserve"> </w:t>
      </w:r>
      <w:r w:rsidR="00AE41C4">
        <w:rPr>
          <w:rFonts w:ascii="Arial" w:hAnsi="Arial" w:cs="Arial"/>
          <w:sz w:val="22"/>
        </w:rPr>
        <w:t xml:space="preserve">patients </w:t>
      </w:r>
      <w:r w:rsidR="001F6C21">
        <w:rPr>
          <w:rFonts w:ascii="Arial" w:hAnsi="Arial" w:cs="Arial"/>
          <w:sz w:val="22"/>
        </w:rPr>
        <w:t xml:space="preserve">adultes </w:t>
      </w:r>
      <w:r w:rsidR="00AE41C4">
        <w:rPr>
          <w:rFonts w:ascii="Arial" w:hAnsi="Arial" w:cs="Arial"/>
          <w:sz w:val="22"/>
        </w:rPr>
        <w:t>au total</w:t>
      </w:r>
      <w:r w:rsidR="00065C32">
        <w:rPr>
          <w:rFonts w:ascii="Arial" w:hAnsi="Arial" w:cs="Arial"/>
          <w:sz w:val="22"/>
        </w:rPr>
        <w:t xml:space="preserve"> tous guéris à la posologie de 15mg/kg/jour pendant </w:t>
      </w:r>
      <w:r w:rsidR="004F480E">
        <w:rPr>
          <w:rFonts w:ascii="Arial" w:hAnsi="Arial" w:cs="Arial"/>
          <w:sz w:val="22"/>
        </w:rPr>
        <w:t xml:space="preserve">trois jours </w:t>
      </w:r>
      <w:r w:rsidR="007F3D4B">
        <w:rPr>
          <w:rFonts w:ascii="Arial" w:hAnsi="Arial" w:cs="Arial"/>
          <w:sz w:val="22"/>
        </w:rPr>
        <w:t>renouvelés</w:t>
      </w:r>
      <w:r w:rsidR="00065C32">
        <w:rPr>
          <w:rFonts w:ascii="Arial" w:hAnsi="Arial" w:cs="Arial"/>
          <w:sz w:val="22"/>
        </w:rPr>
        <w:t xml:space="preserve"> après une semaine </w:t>
      </w:r>
      <w:r w:rsidR="007F3D4B">
        <w:rPr>
          <w:rFonts w:ascii="Arial" w:hAnsi="Arial" w:cs="Arial"/>
          <w:sz w:val="22"/>
        </w:rPr>
        <w:t xml:space="preserve">pour </w:t>
      </w:r>
      <w:r w:rsidR="00065C32">
        <w:rPr>
          <w:rFonts w:ascii="Arial" w:hAnsi="Arial" w:cs="Arial"/>
          <w:sz w:val="22"/>
        </w:rPr>
        <w:t>certains</w:t>
      </w:r>
      <w:r w:rsidR="00A71889" w:rsidRPr="003602E8">
        <w:rPr>
          <w:rFonts w:ascii="Arial" w:hAnsi="Arial" w:cs="Arial"/>
          <w:sz w:val="22"/>
        </w:rPr>
        <w:t>.</w:t>
      </w:r>
      <w:r w:rsidR="00B305AF" w:rsidRPr="00B305AF">
        <w:rPr>
          <w:rFonts w:ascii="Arial" w:hAnsi="Arial" w:cs="Arial"/>
          <w:sz w:val="22"/>
        </w:rPr>
        <w:t xml:space="preserve"> </w:t>
      </w:r>
      <w:r w:rsidR="007F3D4B">
        <w:rPr>
          <w:rFonts w:ascii="Arial" w:hAnsi="Arial" w:cs="Arial"/>
          <w:sz w:val="22"/>
        </w:rPr>
        <w:t xml:space="preserve">Les </w:t>
      </w:r>
      <w:r w:rsidR="00B06E93">
        <w:rPr>
          <w:rFonts w:ascii="Arial" w:hAnsi="Arial" w:cs="Arial"/>
          <w:sz w:val="22"/>
        </w:rPr>
        <w:t>deux</w:t>
      </w:r>
      <w:r w:rsidR="00911FD0">
        <w:rPr>
          <w:rFonts w:ascii="Arial" w:hAnsi="Arial" w:cs="Arial"/>
          <w:sz w:val="22"/>
        </w:rPr>
        <w:t xml:space="preserve"> </w:t>
      </w:r>
      <w:r w:rsidR="001D569C">
        <w:rPr>
          <w:rFonts w:ascii="Arial" w:hAnsi="Arial" w:cs="Arial"/>
          <w:sz w:val="22"/>
        </w:rPr>
        <w:t>essais</w:t>
      </w:r>
      <w:r w:rsidR="00B06E93">
        <w:rPr>
          <w:rFonts w:ascii="Arial" w:hAnsi="Arial" w:cs="Arial"/>
          <w:sz w:val="22"/>
        </w:rPr>
        <w:t xml:space="preserve"> cliniques</w:t>
      </w:r>
      <w:r w:rsidR="00825719">
        <w:rPr>
          <w:rFonts w:ascii="Arial" w:hAnsi="Arial" w:cs="Arial"/>
          <w:sz w:val="22"/>
        </w:rPr>
        <w:t xml:space="preserve"> </w:t>
      </w:r>
      <w:r w:rsidR="007F3D4B">
        <w:rPr>
          <w:rFonts w:ascii="Arial" w:hAnsi="Arial" w:cs="Arial"/>
          <w:sz w:val="22"/>
        </w:rPr>
        <w:t xml:space="preserve">ont été </w:t>
      </w:r>
      <w:r w:rsidR="00911FD0">
        <w:rPr>
          <w:rFonts w:ascii="Arial" w:hAnsi="Arial" w:cs="Arial"/>
          <w:sz w:val="22"/>
        </w:rPr>
        <w:t xml:space="preserve">menés </w:t>
      </w:r>
      <w:r w:rsidR="00B305AF">
        <w:rPr>
          <w:rFonts w:ascii="Arial" w:hAnsi="Arial" w:cs="Arial"/>
          <w:sz w:val="22"/>
        </w:rPr>
        <w:t>en</w:t>
      </w:r>
      <w:r w:rsidR="00065C32">
        <w:rPr>
          <w:rFonts w:ascii="Arial" w:hAnsi="Arial" w:cs="Arial"/>
          <w:sz w:val="22"/>
        </w:rPr>
        <w:t xml:space="preserve"> Indonésie</w:t>
      </w:r>
      <w:r w:rsidR="00F678D2">
        <w:rPr>
          <w:rFonts w:ascii="Arial" w:hAnsi="Arial" w:cs="Arial"/>
          <w:sz w:val="22"/>
        </w:rPr>
        <w:t xml:space="preserve"> avec la perméthrine topique comme comparateur sur</w:t>
      </w:r>
      <w:r w:rsidR="00B305AF" w:rsidRPr="003602E8">
        <w:rPr>
          <w:rFonts w:ascii="Arial" w:hAnsi="Arial" w:cs="Arial"/>
          <w:sz w:val="22"/>
        </w:rPr>
        <w:t xml:space="preserve"> l</w:t>
      </w:r>
      <w:r w:rsidR="00825719">
        <w:rPr>
          <w:rFonts w:ascii="Arial" w:hAnsi="Arial" w:cs="Arial"/>
          <w:sz w:val="22"/>
        </w:rPr>
        <w:t>a</w:t>
      </w:r>
      <w:r w:rsidR="00B305AF" w:rsidRPr="003602E8">
        <w:rPr>
          <w:rFonts w:ascii="Arial" w:hAnsi="Arial" w:cs="Arial"/>
          <w:sz w:val="22"/>
        </w:rPr>
        <w:t xml:space="preserve"> </w:t>
      </w:r>
      <w:r w:rsidR="00825719">
        <w:rPr>
          <w:rFonts w:ascii="Arial" w:hAnsi="Arial" w:cs="Arial"/>
          <w:sz w:val="22"/>
        </w:rPr>
        <w:t>gale classique</w:t>
      </w:r>
      <w:r w:rsidR="007F3D4B">
        <w:rPr>
          <w:rFonts w:ascii="Arial" w:hAnsi="Arial" w:cs="Arial"/>
          <w:sz w:val="22"/>
        </w:rPr>
        <w:t>.</w:t>
      </w:r>
      <w:r w:rsidR="00B305AF" w:rsidRPr="003602E8">
        <w:rPr>
          <w:rFonts w:ascii="Arial" w:hAnsi="Arial" w:cs="Arial"/>
          <w:sz w:val="22"/>
        </w:rPr>
        <w:t xml:space="preserve"> </w:t>
      </w:r>
      <w:r w:rsidR="007F3D4B" w:rsidRPr="003602E8">
        <w:rPr>
          <w:rFonts w:ascii="Arial" w:hAnsi="Arial" w:cs="Arial"/>
          <w:sz w:val="22"/>
        </w:rPr>
        <w:t>L’albendazole</w:t>
      </w:r>
      <w:r w:rsidR="00B305AF" w:rsidRPr="003602E8">
        <w:rPr>
          <w:rFonts w:ascii="Arial" w:hAnsi="Arial" w:cs="Arial"/>
          <w:sz w:val="22"/>
        </w:rPr>
        <w:t xml:space="preserve"> a montré une efficacité de </w:t>
      </w:r>
      <w:r w:rsidR="00B305AF">
        <w:rPr>
          <w:rFonts w:ascii="Arial" w:hAnsi="Arial" w:cs="Arial"/>
          <w:sz w:val="22"/>
        </w:rPr>
        <w:t>86</w:t>
      </w:r>
      <w:r w:rsidR="00F678D2">
        <w:rPr>
          <w:rFonts w:ascii="Arial" w:hAnsi="Arial" w:cs="Arial"/>
          <w:sz w:val="22"/>
        </w:rPr>
        <w:t>,5</w:t>
      </w:r>
      <w:r w:rsidR="00F678D2" w:rsidRPr="00B305AF">
        <w:rPr>
          <w:rFonts w:ascii="Arial" w:hAnsi="Arial" w:cs="Arial"/>
          <w:sz w:val="22"/>
        </w:rPr>
        <w:t>%</w:t>
      </w:r>
      <w:r w:rsidR="00F678D2">
        <w:rPr>
          <w:rFonts w:ascii="Arial" w:hAnsi="Arial" w:cs="Arial"/>
          <w:sz w:val="22"/>
        </w:rPr>
        <w:t xml:space="preserve"> (45/52)</w:t>
      </w:r>
      <w:r w:rsidR="00B305AF">
        <w:rPr>
          <w:rFonts w:ascii="Arial" w:hAnsi="Arial" w:cs="Arial"/>
          <w:sz w:val="22"/>
        </w:rPr>
        <w:t xml:space="preserve"> </w:t>
      </w:r>
      <w:r w:rsidR="001C0766">
        <w:rPr>
          <w:rFonts w:ascii="Arial" w:hAnsi="Arial" w:cs="Arial"/>
          <w:sz w:val="22"/>
        </w:rPr>
        <w:t xml:space="preserve">à l’évaluation </w:t>
      </w:r>
      <w:r w:rsidR="002D5C0D">
        <w:rPr>
          <w:rFonts w:ascii="Arial" w:hAnsi="Arial" w:cs="Arial"/>
          <w:sz w:val="22"/>
        </w:rPr>
        <w:t>au 14</w:t>
      </w:r>
      <w:r w:rsidR="007F3D4B" w:rsidRPr="007F3D4B">
        <w:rPr>
          <w:rFonts w:ascii="Arial" w:hAnsi="Arial" w:cs="Arial"/>
          <w:sz w:val="22"/>
          <w:vertAlign w:val="superscript"/>
        </w:rPr>
        <w:t>ème</w:t>
      </w:r>
      <w:r w:rsidR="007F3D4B">
        <w:rPr>
          <w:rFonts w:ascii="Arial" w:hAnsi="Arial" w:cs="Arial"/>
          <w:sz w:val="22"/>
        </w:rPr>
        <w:t xml:space="preserve"> jour</w:t>
      </w:r>
      <w:r w:rsidR="001C0766">
        <w:rPr>
          <w:rFonts w:ascii="Arial" w:hAnsi="Arial" w:cs="Arial"/>
          <w:sz w:val="22"/>
        </w:rPr>
        <w:t xml:space="preserve"> pour l’un </w:t>
      </w:r>
      <w:r w:rsidR="007F3D4B">
        <w:rPr>
          <w:rFonts w:ascii="Arial" w:hAnsi="Arial" w:cs="Arial"/>
          <w:sz w:val="22"/>
        </w:rPr>
        <w:t>et</w:t>
      </w:r>
      <w:r w:rsidR="00B305AF">
        <w:rPr>
          <w:rFonts w:ascii="Arial" w:hAnsi="Arial" w:cs="Arial"/>
          <w:sz w:val="22"/>
        </w:rPr>
        <w:t xml:space="preserve"> </w:t>
      </w:r>
      <w:r w:rsidR="001C0766">
        <w:rPr>
          <w:rFonts w:ascii="Arial" w:hAnsi="Arial" w:cs="Arial"/>
          <w:sz w:val="22"/>
        </w:rPr>
        <w:t xml:space="preserve">de </w:t>
      </w:r>
      <w:r w:rsidR="00B305AF" w:rsidRPr="003602E8">
        <w:rPr>
          <w:rFonts w:ascii="Arial" w:hAnsi="Arial" w:cs="Arial"/>
          <w:sz w:val="22"/>
        </w:rPr>
        <w:t>90</w:t>
      </w:r>
      <w:r w:rsidR="00911FD0" w:rsidRPr="003602E8">
        <w:rPr>
          <w:rFonts w:ascii="Arial" w:hAnsi="Arial" w:cs="Arial"/>
          <w:sz w:val="22"/>
        </w:rPr>
        <w:t>%</w:t>
      </w:r>
      <w:r w:rsidR="00911FD0">
        <w:rPr>
          <w:rFonts w:ascii="Arial" w:hAnsi="Arial" w:cs="Arial"/>
          <w:sz w:val="22"/>
        </w:rPr>
        <w:t xml:space="preserve"> (27/30)</w:t>
      </w:r>
      <w:r w:rsidR="00AD1EA3">
        <w:rPr>
          <w:rFonts w:ascii="Arial" w:hAnsi="Arial" w:cs="Arial"/>
          <w:sz w:val="22"/>
        </w:rPr>
        <w:t xml:space="preserve"> </w:t>
      </w:r>
      <w:r w:rsidR="001C0766">
        <w:rPr>
          <w:rFonts w:ascii="Arial" w:hAnsi="Arial" w:cs="Arial"/>
          <w:sz w:val="22"/>
        </w:rPr>
        <w:t>à l’évaluation au</w:t>
      </w:r>
      <w:r w:rsidR="007F3D4B">
        <w:rPr>
          <w:rFonts w:ascii="Arial" w:hAnsi="Arial" w:cs="Arial"/>
          <w:sz w:val="22"/>
        </w:rPr>
        <w:t xml:space="preserve"> 28</w:t>
      </w:r>
      <w:r w:rsidR="007F3D4B" w:rsidRPr="007F3D4B">
        <w:rPr>
          <w:rFonts w:ascii="Arial" w:hAnsi="Arial" w:cs="Arial"/>
          <w:sz w:val="22"/>
          <w:vertAlign w:val="superscript"/>
        </w:rPr>
        <w:t>ème</w:t>
      </w:r>
      <w:r w:rsidR="007F3D4B">
        <w:rPr>
          <w:rFonts w:ascii="Arial" w:hAnsi="Arial" w:cs="Arial"/>
          <w:sz w:val="22"/>
        </w:rPr>
        <w:t xml:space="preserve"> jour</w:t>
      </w:r>
      <w:r w:rsidR="001C0766">
        <w:rPr>
          <w:rFonts w:ascii="Arial" w:hAnsi="Arial" w:cs="Arial"/>
          <w:sz w:val="22"/>
        </w:rPr>
        <w:t xml:space="preserve"> pour l’autre</w:t>
      </w:r>
      <w:r w:rsidR="007F3D4B">
        <w:rPr>
          <w:rFonts w:ascii="Arial" w:hAnsi="Arial" w:cs="Arial"/>
          <w:sz w:val="22"/>
        </w:rPr>
        <w:t xml:space="preserve">. </w:t>
      </w:r>
    </w:p>
    <w:p w14:paraId="27F61FF7" w14:textId="73FC766C" w:rsidR="00A0617F" w:rsidRPr="003602E8" w:rsidRDefault="00A0617F" w:rsidP="003602E8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2"/>
        </w:rPr>
      </w:pPr>
      <w:r w:rsidRPr="003602E8">
        <w:rPr>
          <w:rFonts w:ascii="Arial" w:hAnsi="Arial" w:cs="Arial"/>
          <w:b/>
          <w:bCs/>
          <w:sz w:val="22"/>
        </w:rPr>
        <w:t>Conclusion</w:t>
      </w:r>
      <w:r w:rsidR="00D17BCB" w:rsidRPr="003602E8">
        <w:rPr>
          <w:rFonts w:ascii="Arial" w:hAnsi="Arial" w:cs="Arial"/>
          <w:b/>
          <w:bCs/>
          <w:sz w:val="22"/>
        </w:rPr>
        <w:t xml:space="preserve"> : </w:t>
      </w:r>
      <w:r w:rsidRPr="003602E8">
        <w:rPr>
          <w:rFonts w:ascii="Arial" w:hAnsi="Arial" w:cs="Arial"/>
          <w:sz w:val="22"/>
        </w:rPr>
        <w:t xml:space="preserve"> </w:t>
      </w:r>
      <w:r w:rsidR="00835D66">
        <w:rPr>
          <w:rFonts w:ascii="Arial" w:hAnsi="Arial" w:cs="Arial"/>
          <w:sz w:val="22"/>
        </w:rPr>
        <w:t>Les données concernant l’efficacité de l’albendazole dans la gale sont peu nombreuses et d</w:t>
      </w:r>
      <w:r w:rsidR="0081227E">
        <w:rPr>
          <w:rFonts w:ascii="Arial" w:hAnsi="Arial" w:cs="Arial"/>
          <w:sz w:val="22"/>
        </w:rPr>
        <w:t>e</w:t>
      </w:r>
      <w:r w:rsidR="00835D66">
        <w:rPr>
          <w:rFonts w:ascii="Arial" w:hAnsi="Arial" w:cs="Arial"/>
          <w:sz w:val="22"/>
        </w:rPr>
        <w:t xml:space="preserve"> </w:t>
      </w:r>
      <w:r w:rsidR="00AE41C4">
        <w:rPr>
          <w:rFonts w:ascii="Arial" w:hAnsi="Arial" w:cs="Arial"/>
          <w:sz w:val="22"/>
        </w:rPr>
        <w:t xml:space="preserve">qualité </w:t>
      </w:r>
      <w:r w:rsidR="00835D66">
        <w:rPr>
          <w:rFonts w:ascii="Arial" w:hAnsi="Arial" w:cs="Arial"/>
          <w:sz w:val="22"/>
        </w:rPr>
        <w:t>méthodologique</w:t>
      </w:r>
      <w:r w:rsidR="002D5C0D">
        <w:rPr>
          <w:rFonts w:ascii="Arial" w:hAnsi="Arial" w:cs="Arial"/>
          <w:sz w:val="22"/>
        </w:rPr>
        <w:t xml:space="preserve"> faible</w:t>
      </w:r>
      <w:r w:rsidR="00835D66">
        <w:rPr>
          <w:rFonts w:ascii="Arial" w:hAnsi="Arial" w:cs="Arial"/>
          <w:sz w:val="22"/>
        </w:rPr>
        <w:t xml:space="preserve">, ne permettant pas de tirer de conclusion fiable. Les résultats globalement positifs de ces travaux préliminaires incitent cependant à élaborer des essais cliniques de haut standard méthodologique. </w:t>
      </w:r>
    </w:p>
    <w:p w14:paraId="4E0ED514" w14:textId="17120A24" w:rsidR="00A0617F" w:rsidRDefault="00682292" w:rsidP="003602E8">
      <w:pPr>
        <w:ind w:firstLine="0"/>
        <w:jc w:val="left"/>
        <w:rPr>
          <w:rFonts w:ascii="Arial" w:hAnsi="Arial" w:cs="Arial"/>
          <w:sz w:val="22"/>
        </w:rPr>
      </w:pPr>
      <w:r w:rsidRPr="003602E8">
        <w:rPr>
          <w:rFonts w:ascii="Arial" w:hAnsi="Arial" w:cs="Arial"/>
          <w:b/>
          <w:bCs/>
          <w:sz w:val="22"/>
        </w:rPr>
        <w:t>Mots clés</w:t>
      </w:r>
      <w:r w:rsidR="00A0617F" w:rsidRPr="003602E8">
        <w:rPr>
          <w:rFonts w:ascii="Arial" w:hAnsi="Arial" w:cs="Arial"/>
          <w:b/>
          <w:bCs/>
          <w:sz w:val="22"/>
        </w:rPr>
        <w:t xml:space="preserve"> : </w:t>
      </w:r>
      <w:r w:rsidR="0061762C" w:rsidRPr="003602E8">
        <w:rPr>
          <w:rFonts w:ascii="Arial" w:hAnsi="Arial" w:cs="Arial"/>
          <w:sz w:val="22"/>
        </w:rPr>
        <w:t>Gale</w:t>
      </w:r>
      <w:r w:rsidR="00CD67F8" w:rsidRPr="003602E8">
        <w:rPr>
          <w:rFonts w:ascii="Arial" w:hAnsi="Arial" w:cs="Arial"/>
          <w:sz w:val="22"/>
        </w:rPr>
        <w:t xml:space="preserve">, </w:t>
      </w:r>
      <w:r w:rsidR="0061762C" w:rsidRPr="003602E8">
        <w:rPr>
          <w:rFonts w:ascii="Arial" w:hAnsi="Arial" w:cs="Arial"/>
          <w:sz w:val="22"/>
        </w:rPr>
        <w:t>Albendazole</w:t>
      </w:r>
      <w:r w:rsidR="00CD67F8" w:rsidRPr="003602E8">
        <w:rPr>
          <w:rFonts w:ascii="Arial" w:hAnsi="Arial" w:cs="Arial"/>
          <w:sz w:val="22"/>
        </w:rPr>
        <w:t xml:space="preserve">, </w:t>
      </w:r>
      <w:r w:rsidR="0061762C" w:rsidRPr="003602E8">
        <w:rPr>
          <w:rFonts w:ascii="Arial" w:hAnsi="Arial" w:cs="Arial"/>
          <w:sz w:val="22"/>
        </w:rPr>
        <w:t>Alternatives thérapeutiques</w:t>
      </w:r>
      <w:r w:rsidR="00CD67F8" w:rsidRPr="003602E8">
        <w:rPr>
          <w:rFonts w:ascii="Arial" w:hAnsi="Arial" w:cs="Arial"/>
          <w:sz w:val="22"/>
        </w:rPr>
        <w:t xml:space="preserve">, </w:t>
      </w:r>
    </w:p>
    <w:p w14:paraId="4378B940" w14:textId="68E7D020" w:rsidR="003602E8" w:rsidRDefault="003602E8" w:rsidP="003602E8">
      <w:pPr>
        <w:ind w:firstLine="0"/>
        <w:jc w:val="left"/>
        <w:rPr>
          <w:rFonts w:ascii="Arial" w:hAnsi="Arial" w:cs="Arial"/>
          <w:sz w:val="22"/>
        </w:rPr>
      </w:pPr>
    </w:p>
    <w:p w14:paraId="448BE5E4" w14:textId="10851651" w:rsidR="003602E8" w:rsidRPr="003602E8" w:rsidRDefault="003602E8" w:rsidP="003602E8">
      <w:pPr>
        <w:ind w:firstLine="0"/>
        <w:jc w:val="left"/>
        <w:rPr>
          <w:rFonts w:ascii="Arial" w:hAnsi="Arial" w:cs="Arial"/>
          <w:sz w:val="22"/>
        </w:rPr>
      </w:pPr>
      <w:r w:rsidRPr="003602E8">
        <w:rPr>
          <w:rFonts w:ascii="Arial" w:hAnsi="Arial" w:cs="Arial"/>
          <w:b/>
          <w:bCs/>
          <w:sz w:val="22"/>
        </w:rPr>
        <w:t>Déclaration de liens d'intérêts</w:t>
      </w:r>
      <w:r>
        <w:rPr>
          <w:rFonts w:ascii="Arial" w:hAnsi="Arial" w:cs="Arial"/>
          <w:sz w:val="22"/>
        </w:rPr>
        <w:t xml:space="preserve"> :  </w:t>
      </w:r>
      <w:r w:rsidRPr="003602E8">
        <w:rPr>
          <w:rFonts w:ascii="Arial" w:hAnsi="Arial" w:cs="Arial"/>
          <w:sz w:val="22"/>
        </w:rPr>
        <w:t>Les auteurs déclarent ne pas avoir de</w:t>
      </w:r>
      <w:r>
        <w:rPr>
          <w:rFonts w:ascii="Arial" w:hAnsi="Arial" w:cs="Arial"/>
          <w:sz w:val="22"/>
        </w:rPr>
        <w:t xml:space="preserve"> </w:t>
      </w:r>
      <w:r w:rsidRPr="003602E8">
        <w:rPr>
          <w:rFonts w:ascii="Arial" w:hAnsi="Arial" w:cs="Arial"/>
          <w:sz w:val="22"/>
        </w:rPr>
        <w:t>liens d'intérêts</w:t>
      </w:r>
    </w:p>
    <w:sectPr w:rsidR="003602E8" w:rsidRPr="00360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7F"/>
    <w:rsid w:val="00065C32"/>
    <w:rsid w:val="0006618F"/>
    <w:rsid w:val="00175FFF"/>
    <w:rsid w:val="00194A89"/>
    <w:rsid w:val="00196004"/>
    <w:rsid w:val="001C0766"/>
    <w:rsid w:val="001D569C"/>
    <w:rsid w:val="001F6C21"/>
    <w:rsid w:val="0025252F"/>
    <w:rsid w:val="0028727A"/>
    <w:rsid w:val="00291BC8"/>
    <w:rsid w:val="002D5C0D"/>
    <w:rsid w:val="003602E8"/>
    <w:rsid w:val="00377AD8"/>
    <w:rsid w:val="003B5384"/>
    <w:rsid w:val="003B65CC"/>
    <w:rsid w:val="003C3370"/>
    <w:rsid w:val="00402F43"/>
    <w:rsid w:val="00411812"/>
    <w:rsid w:val="004166D7"/>
    <w:rsid w:val="004713AA"/>
    <w:rsid w:val="004D5792"/>
    <w:rsid w:val="004E6AC9"/>
    <w:rsid w:val="004F480E"/>
    <w:rsid w:val="005A2764"/>
    <w:rsid w:val="005D47A0"/>
    <w:rsid w:val="0061762C"/>
    <w:rsid w:val="00682292"/>
    <w:rsid w:val="00685691"/>
    <w:rsid w:val="00701F01"/>
    <w:rsid w:val="00721B99"/>
    <w:rsid w:val="0072202D"/>
    <w:rsid w:val="00735E74"/>
    <w:rsid w:val="007F2975"/>
    <w:rsid w:val="007F3D4B"/>
    <w:rsid w:val="0081227E"/>
    <w:rsid w:val="00825719"/>
    <w:rsid w:val="00835D66"/>
    <w:rsid w:val="00890086"/>
    <w:rsid w:val="008B5A26"/>
    <w:rsid w:val="008C109C"/>
    <w:rsid w:val="008E15D6"/>
    <w:rsid w:val="00911FD0"/>
    <w:rsid w:val="00916EA1"/>
    <w:rsid w:val="00945D7D"/>
    <w:rsid w:val="00962922"/>
    <w:rsid w:val="009A271E"/>
    <w:rsid w:val="00A0617F"/>
    <w:rsid w:val="00A71889"/>
    <w:rsid w:val="00A85690"/>
    <w:rsid w:val="00AB5437"/>
    <w:rsid w:val="00AD1EA3"/>
    <w:rsid w:val="00AE41C4"/>
    <w:rsid w:val="00B06E93"/>
    <w:rsid w:val="00B17C4E"/>
    <w:rsid w:val="00B305AF"/>
    <w:rsid w:val="00B31877"/>
    <w:rsid w:val="00B50698"/>
    <w:rsid w:val="00B8702C"/>
    <w:rsid w:val="00BB2FF7"/>
    <w:rsid w:val="00C07057"/>
    <w:rsid w:val="00C116CF"/>
    <w:rsid w:val="00C87AA0"/>
    <w:rsid w:val="00C9404E"/>
    <w:rsid w:val="00CA73AA"/>
    <w:rsid w:val="00CB53C6"/>
    <w:rsid w:val="00CD3768"/>
    <w:rsid w:val="00CD67F8"/>
    <w:rsid w:val="00CF2E98"/>
    <w:rsid w:val="00CF799C"/>
    <w:rsid w:val="00D106F8"/>
    <w:rsid w:val="00D17BCB"/>
    <w:rsid w:val="00D77C8F"/>
    <w:rsid w:val="00E06212"/>
    <w:rsid w:val="00EB1DFD"/>
    <w:rsid w:val="00EE3E45"/>
    <w:rsid w:val="00EE547B"/>
    <w:rsid w:val="00F678D2"/>
    <w:rsid w:val="00FA1E8A"/>
    <w:rsid w:val="00FB78DD"/>
    <w:rsid w:val="00FC5ECC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DB7B"/>
  <w15:chartTrackingRefBased/>
  <w15:docId w15:val="{1C89A42D-FA76-402B-86D7-95EB105D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7F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autoRedefine/>
    <w:qFormat/>
    <w:rsid w:val="00377AD8"/>
    <w:pPr>
      <w:keepNext/>
      <w:keepLines/>
      <w:tabs>
        <w:tab w:val="left" w:pos="1134"/>
        <w:tab w:val="left" w:pos="1701"/>
      </w:tabs>
      <w:spacing w:before="120" w:after="120" w:line="240" w:lineRule="atLeast"/>
      <w:ind w:firstLine="0"/>
    </w:pPr>
    <w:rPr>
      <w:rFonts w:ascii="Calibri" w:eastAsia="Times New Roman" w:hAnsi="Calibri"/>
      <w:b/>
      <w:bCs/>
      <w:color w:val="333399"/>
      <w:sz w:val="22"/>
      <w:szCs w:val="20"/>
      <w:lang w:val="fr-FR" w:eastAsia="nl-NL"/>
    </w:rPr>
  </w:style>
  <w:style w:type="paragraph" w:styleId="Sansinterligne">
    <w:name w:val="No Spacing"/>
    <w:link w:val="SansinterligneCar"/>
    <w:uiPriority w:val="1"/>
    <w:qFormat/>
    <w:rsid w:val="0017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link w:val="Sansinterligne"/>
    <w:uiPriority w:val="1"/>
    <w:rsid w:val="00175F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5FF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229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229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271E"/>
    <w:pPr>
      <w:spacing w:after="0" w:line="240" w:lineRule="auto"/>
    </w:pPr>
    <w:rPr>
      <w:rFonts w:ascii="Times New Roman" w:eastAsia="Calibri" w:hAnsi="Times New Roman" w:cs="Times New Roman"/>
      <w:sz w:val="24"/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EB1D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B1D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B1DFD"/>
    <w:rPr>
      <w:rFonts w:ascii="Times New Roman" w:eastAsia="Calibri" w:hAnsi="Times New Roman" w:cs="Times New Roman"/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1D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1DFD"/>
    <w:rPr>
      <w:rFonts w:ascii="Times New Roman" w:eastAsia="Calibri" w:hAnsi="Times New Roman" w:cs="Times New Roman"/>
      <w:b/>
      <w:bCs/>
      <w:sz w:val="20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trayem@yahoo.fr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GLELE-AHANHANZO</dc:creator>
  <cp:keywords/>
  <dc:description/>
  <cp:lastModifiedBy>Perrin Catraye</cp:lastModifiedBy>
  <cp:revision>8</cp:revision>
  <dcterms:created xsi:type="dcterms:W3CDTF">2025-04-08T00:05:00Z</dcterms:created>
  <dcterms:modified xsi:type="dcterms:W3CDTF">2025-07-18T16:26:00Z</dcterms:modified>
</cp:coreProperties>
</file>