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17" w:rsidRDefault="00792017" w:rsidP="00792017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:rsidR="00792017" w:rsidRDefault="00792017" w:rsidP="00792017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</w:p>
    <w:p w:rsidR="002F709E" w:rsidRDefault="002F709E" w:rsidP="008A6134">
      <w:pPr>
        <w:spacing w:after="0" w:line="276" w:lineRule="auto"/>
        <w:jc w:val="center"/>
        <w:rPr>
          <w:rFonts w:ascii="Times New Roman" w:eastAsia="SimSun" w:hAnsi="Times New Roman" w:cs="Times New Roman"/>
          <w:b/>
          <w:color w:val="000000"/>
          <w:sz w:val="28"/>
          <w:szCs w:val="28"/>
        </w:rPr>
      </w:pPr>
      <w:r w:rsidRPr="002F709E">
        <w:rPr>
          <w:rFonts w:ascii="Times New Roman" w:eastAsia="SimSun" w:hAnsi="Times New Roman" w:cs="Times New Roman"/>
          <w:b/>
          <w:color w:val="000000"/>
          <w:sz w:val="28"/>
          <w:szCs w:val="28"/>
        </w:rPr>
        <w:t>Facteurs influençant la décision parentale de vacciner les fil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les âgées de  9 à 14 ans contre </w:t>
      </w:r>
      <w:r w:rsidRPr="00792017">
        <w:rPr>
          <w:rFonts w:ascii="Times New Roman" w:eastAsia="SimSun" w:hAnsi="Times New Roman" w:cs="Times New Roman"/>
          <w:b/>
          <w:color w:val="000000"/>
          <w:sz w:val="28"/>
          <w:szCs w:val="28"/>
        </w:rPr>
        <w:t>les infections à papillomavirus humains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</w:rPr>
        <w:t xml:space="preserve"> au Lycée Mamie Fêtai de Bingerville, Côte d'Ivoire </w:t>
      </w:r>
    </w:p>
    <w:p w:rsidR="00AE1FBB" w:rsidRPr="00AE1FBB" w:rsidRDefault="00AE1FBB" w:rsidP="008A6134">
      <w:pPr>
        <w:spacing w:after="0" w:line="276" w:lineRule="auto"/>
        <w:jc w:val="center"/>
        <w:rPr>
          <w:rFonts w:ascii="Times New Roman" w:eastAsia="SimSun" w:hAnsi="Times New Roman" w:cs="Times New Roman"/>
          <w:b/>
          <w:color w:val="000000"/>
          <w:sz w:val="16"/>
          <w:szCs w:val="16"/>
        </w:rPr>
      </w:pPr>
    </w:p>
    <w:p w:rsidR="001346ED" w:rsidRPr="008A6134" w:rsidRDefault="001346ED" w:rsidP="001346ED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</w:pPr>
      <w:r w:rsidRPr="0013150B">
        <w:rPr>
          <w:rFonts w:ascii="Times New Roman" w:eastAsia="SimSun" w:hAnsi="Times New Roman" w:cs="Times New Roman"/>
          <w:color w:val="000000"/>
          <w:sz w:val="28"/>
          <w:szCs w:val="28"/>
          <w:u w:val="single"/>
        </w:rPr>
        <w:t>O</w:t>
      </w:r>
      <w:r w:rsidR="008A6134" w:rsidRPr="0013150B">
        <w:rPr>
          <w:rFonts w:ascii="Times New Roman" w:eastAsia="SimSun" w:hAnsi="Times New Roman" w:cs="Times New Roman"/>
          <w:color w:val="000000"/>
          <w:sz w:val="28"/>
          <w:szCs w:val="28"/>
          <w:u w:val="single"/>
        </w:rPr>
        <w:t>ussou KR</w:t>
      </w:r>
      <w:r w:rsidR="008A6134" w:rsidRPr="0013150B">
        <w:rPr>
          <w:rFonts w:ascii="Times New Roman" w:eastAsia="SimSun" w:hAnsi="Times New Roman" w:cs="Times New Roman"/>
          <w:color w:val="000000"/>
          <w:sz w:val="28"/>
          <w:szCs w:val="28"/>
          <w:u w:val="single"/>
          <w:vertAlign w:val="superscript"/>
        </w:rPr>
        <w:t>1</w:t>
      </w:r>
      <w:r w:rsidR="00A3676E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>, Deby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 KA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>1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>, Irika O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>1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 xml:space="preserve">, </w:t>
      </w:r>
      <w:r w:rsidR="00497017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>Soumahoro SI</w:t>
      </w:r>
      <w:r w:rsidR="00497017" w:rsidRPr="008A6134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>1</w:t>
      </w:r>
      <w:r w:rsidR="00497017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 xml:space="preserve"> </w:t>
      </w:r>
      <w:r w:rsidR="00497017">
        <w:rPr>
          <w:rFonts w:ascii="Times New Roman" w:eastAsia="SimSun" w:hAnsi="Times New Roman" w:cs="Times New Roman"/>
          <w:color w:val="000000"/>
          <w:sz w:val="28"/>
          <w:szCs w:val="28"/>
        </w:rPr>
        <w:t>,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>Yao GHA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>1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</w:rPr>
        <w:t>, Fieni APM</w:t>
      </w:r>
      <w:r w:rsidR="008A6134" w:rsidRPr="008A6134">
        <w:rPr>
          <w:rFonts w:ascii="Times New Roman" w:eastAsia="SimSun" w:hAnsi="Times New Roman" w:cs="Times New Roman"/>
          <w:color w:val="000000"/>
          <w:sz w:val="28"/>
          <w:szCs w:val="28"/>
          <w:vertAlign w:val="superscript"/>
        </w:rPr>
        <w:t>2</w:t>
      </w:r>
    </w:p>
    <w:p w:rsidR="008A6134" w:rsidRPr="008A6134" w:rsidRDefault="008A6134" w:rsidP="008A6134">
      <w:pPr>
        <w:spacing w:after="0" w:line="240" w:lineRule="auto"/>
        <w:rPr>
          <w:rFonts w:ascii="Times New Roman" w:eastAsia="SimSun" w:hAnsi="Times New Roman" w:cs="Times New Roman"/>
          <w:color w:val="000000"/>
          <w:sz w:val="32"/>
          <w:szCs w:val="32"/>
          <w:vertAlign w:val="superscript"/>
        </w:rPr>
      </w:pPr>
      <w:r w:rsidRPr="008A6134">
        <w:rPr>
          <w:rFonts w:ascii="Times New Roman" w:eastAsia="SimSun" w:hAnsi="Times New Roman" w:cs="Times New Roman"/>
          <w:color w:val="000000"/>
          <w:sz w:val="32"/>
          <w:szCs w:val="32"/>
          <w:vertAlign w:val="superscript"/>
        </w:rPr>
        <w:t xml:space="preserve">1Departement de sante publique, Universite Alassane Ouattara </w:t>
      </w:r>
    </w:p>
    <w:p w:rsidR="008A6134" w:rsidRPr="008A6134" w:rsidRDefault="00001CEA" w:rsidP="008A6134">
      <w:pPr>
        <w:spacing w:after="0" w:line="240" w:lineRule="auto"/>
        <w:rPr>
          <w:rFonts w:ascii="Times New Roman" w:eastAsia="SimSun" w:hAnsi="Times New Roman" w:cs="Times New Roman"/>
          <w:color w:val="000000"/>
          <w:sz w:val="32"/>
          <w:szCs w:val="32"/>
          <w:vertAlign w:val="superscript"/>
        </w:rPr>
      </w:pPr>
      <w:r>
        <w:rPr>
          <w:rFonts w:ascii="Times New Roman" w:eastAsia="SimSun" w:hAnsi="Times New Roman" w:cs="Times New Roman"/>
          <w:color w:val="000000"/>
          <w:sz w:val="32"/>
          <w:szCs w:val="32"/>
          <w:vertAlign w:val="superscript"/>
        </w:rPr>
        <w:t>2 Institut National d'H</w:t>
      </w:r>
      <w:bookmarkStart w:id="0" w:name="_GoBack"/>
      <w:bookmarkEnd w:id="0"/>
      <w:r w:rsidR="008A6134" w:rsidRPr="008A6134">
        <w:rPr>
          <w:rFonts w:ascii="Times New Roman" w:eastAsia="SimSun" w:hAnsi="Times New Roman" w:cs="Times New Roman"/>
          <w:color w:val="000000"/>
          <w:sz w:val="32"/>
          <w:szCs w:val="32"/>
          <w:vertAlign w:val="superscript"/>
        </w:rPr>
        <w:t xml:space="preserve">ygiène Publique </w:t>
      </w:r>
    </w:p>
    <w:p w:rsidR="001346ED" w:rsidRPr="00AE1FBB" w:rsidRDefault="001346ED" w:rsidP="001346ED">
      <w:pPr>
        <w:spacing w:after="0" w:line="360" w:lineRule="auto"/>
        <w:rPr>
          <w:rFonts w:ascii="Times New Roman" w:eastAsia="SimSun" w:hAnsi="Times New Roman" w:cs="Times New Roman"/>
          <w:b/>
          <w:color w:val="000000"/>
          <w:sz w:val="16"/>
          <w:szCs w:val="16"/>
        </w:rPr>
      </w:pPr>
    </w:p>
    <w:p w:rsidR="008A6134" w:rsidRDefault="00792017" w:rsidP="00792017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92017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Introduction </w:t>
      </w:r>
    </w:p>
    <w:p w:rsidR="0013150B" w:rsidRPr="00792017" w:rsidRDefault="0013150B" w:rsidP="00792017">
      <w:pPr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3150B">
        <w:rPr>
          <w:rFonts w:ascii="Times New Roman" w:hAnsi="Times New Roman" w:cs="Times New Roman"/>
          <w:sz w:val="24"/>
          <w:szCs w:val="24"/>
        </w:rPr>
        <w:t>Les infections à papillomavirus humain (HPV) sont les principales infections sexuellement transmissibles impliquées dans la survenue des cancers du col de l’utérus. La va</w:t>
      </w:r>
      <w:r>
        <w:rPr>
          <w:rFonts w:ascii="Times New Roman" w:hAnsi="Times New Roman" w:cs="Times New Roman"/>
          <w:sz w:val="24"/>
          <w:szCs w:val="24"/>
        </w:rPr>
        <w:t xml:space="preserve">ccination </w:t>
      </w:r>
      <w:r w:rsidRPr="0013150B">
        <w:rPr>
          <w:rFonts w:ascii="Times New Roman" w:hAnsi="Times New Roman" w:cs="Times New Roman"/>
          <w:sz w:val="24"/>
          <w:szCs w:val="24"/>
        </w:rPr>
        <w:t xml:space="preserve"> constitue un moyen efficace de prévention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150B">
        <w:rPr>
          <w:rFonts w:ascii="Times New Roman" w:hAnsi="Times New Roman" w:cs="Times New Roman"/>
          <w:sz w:val="24"/>
          <w:szCs w:val="24"/>
        </w:rPr>
        <w:t xml:space="preserve"> particulièrement recommandée chez les jeunes filles</w:t>
      </w:r>
      <w:r w:rsidR="00AE1FBB">
        <w:rPr>
          <w:rFonts w:ascii="Times New Roman" w:hAnsi="Times New Roman" w:cs="Times New Roman"/>
          <w:sz w:val="24"/>
          <w:szCs w:val="24"/>
        </w:rPr>
        <w:t xml:space="preserve"> avant toutes activités sexuelles. </w:t>
      </w:r>
      <w:r>
        <w:rPr>
          <w:rFonts w:ascii="Times New Roman" w:hAnsi="Times New Roman" w:cs="Times New Roman"/>
          <w:sz w:val="24"/>
          <w:szCs w:val="24"/>
        </w:rPr>
        <w:t xml:space="preserve">Toutefois, les </w:t>
      </w:r>
      <w:r w:rsidRPr="0013150B">
        <w:rPr>
          <w:rFonts w:ascii="Times New Roman" w:hAnsi="Times New Roman" w:cs="Times New Roman"/>
          <w:sz w:val="24"/>
          <w:szCs w:val="24"/>
        </w:rPr>
        <w:t>couvertures vaccinale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150B">
        <w:rPr>
          <w:rFonts w:ascii="Times New Roman" w:hAnsi="Times New Roman" w:cs="Times New Roman"/>
          <w:sz w:val="24"/>
          <w:szCs w:val="24"/>
        </w:rPr>
        <w:t xml:space="preserve"> demeure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13150B">
        <w:rPr>
          <w:rFonts w:ascii="Times New Roman" w:hAnsi="Times New Roman" w:cs="Times New Roman"/>
          <w:sz w:val="24"/>
          <w:szCs w:val="24"/>
        </w:rPr>
        <w:t xml:space="preserve"> insuffisante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1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Côte d'Ivoire</w:t>
      </w:r>
      <w:r w:rsidRPr="0013150B">
        <w:rPr>
          <w:rFonts w:ascii="Times New Roman" w:hAnsi="Times New Roman" w:cs="Times New Roman"/>
          <w:sz w:val="24"/>
          <w:szCs w:val="24"/>
        </w:rPr>
        <w:t xml:space="preserve">. Cette étude avait pour </w:t>
      </w:r>
      <w:r>
        <w:rPr>
          <w:rFonts w:ascii="Times New Roman" w:hAnsi="Times New Roman" w:cs="Times New Roman"/>
          <w:sz w:val="24"/>
          <w:szCs w:val="24"/>
        </w:rPr>
        <w:t>objectif principal  d'</w:t>
      </w:r>
      <w:r w:rsidRPr="0013150B">
        <w:rPr>
          <w:rFonts w:ascii="Times New Roman" w:hAnsi="Times New Roman" w:cs="Times New Roman"/>
          <w:sz w:val="24"/>
          <w:szCs w:val="24"/>
        </w:rPr>
        <w:t>identifier les facteurs associés à une faible adhésion vaccinale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2017" w:rsidRDefault="00792017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92017">
        <w:rPr>
          <w:rFonts w:ascii="Times New Roman" w:eastAsia="SimSun" w:hAnsi="Times New Roman" w:cs="Times New Roman"/>
          <w:b/>
          <w:color w:val="000000"/>
          <w:sz w:val="24"/>
          <w:szCs w:val="24"/>
        </w:rPr>
        <w:t>Matériels et Méthode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3D4542" w:rsidRPr="00792017" w:rsidRDefault="003D4542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3D4542">
        <w:rPr>
          <w:rFonts w:ascii="Times New Roman" w:hAnsi="Times New Roman" w:cs="Times New Roman"/>
          <w:sz w:val="24"/>
          <w:szCs w:val="24"/>
        </w:rPr>
        <w:t>Une étude transversale a été menée les 2 et 3 décembre 2024 au lycée Mamie Houphouët Fêtai de Bingerville. Un total de 301 parents d’élèves des classes de 6ᵉ, 5ᵉ et 4ᵉ a été inclus, selon un échantillonnage stratifié proportionnel par niveau scolaire. L’analyse des données a été effectuée à l’aide des logiciels SPSS version 25.0 et Microsoft Excel.</w:t>
      </w:r>
    </w:p>
    <w:p w:rsidR="00792017" w:rsidRDefault="00792017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92017">
        <w:rPr>
          <w:rFonts w:ascii="Times New Roman" w:eastAsia="SimSun" w:hAnsi="Times New Roman" w:cs="Times New Roman"/>
          <w:b/>
          <w:color w:val="000000"/>
          <w:sz w:val="24"/>
          <w:szCs w:val="24"/>
        </w:rPr>
        <w:t>Résultats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AE1FBB" w:rsidRDefault="003D4542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La majorité des parents interrogés a déclaré avoir été informée des infections à HPV et de l’existence du vaccin 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>(80,0%)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>. Les principales sources d'information rapportées étaient Internet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(37,0%)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et les professionnels de santé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(29,0%)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>. La transmission du HPV était majoritairement perçue comme sexuelle, bien que 58 % des répondant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s aient également cité, 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>la salive et le sang comme modes de transmission. Par ailleurs, 30,2 % d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es parents ont mentionné 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>l’utilisation du préservatif comme moyen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de prévention. </w:t>
      </w:r>
      <w:r w:rsidRPr="003D454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La couverture vaccinale contre le HPV était estimée à 28,6 %.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>Plusieurs facteurs étaient significativement associés à la vaccination :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le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niveau scolaire (p = 0,023), 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la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profession  (p = 0,002), âge de l’adolescente (p &lt; 0,001), 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la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connaissance de l’intérêt vaccinal (p &lt; 0,001), 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la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perception de son efficacité (p &lt; 0,001) et 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la </w:t>
      </w:r>
      <w:r w:rsidR="00AE1FBB"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>recommandation par un professionnel de santé (p = 0,001).</w:t>
      </w:r>
    </w:p>
    <w:p w:rsidR="00E27ABA" w:rsidRPr="00E27ABA" w:rsidRDefault="00E27ABA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16"/>
          <w:szCs w:val="16"/>
        </w:rPr>
      </w:pPr>
    </w:p>
    <w:p w:rsidR="00AE1FBB" w:rsidRDefault="00792017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792017">
        <w:rPr>
          <w:rFonts w:ascii="Times New Roman" w:eastAsia="SimSun" w:hAnsi="Times New Roman" w:cs="Times New Roman"/>
          <w:b/>
          <w:color w:val="000000"/>
          <w:sz w:val="24"/>
          <w:szCs w:val="24"/>
        </w:rPr>
        <w:t>Conclusion</w:t>
      </w:r>
      <w:r w:rsidR="00AE1FB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AE1FBB" w:rsidRDefault="00AE1FBB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AE1FBB">
        <w:rPr>
          <w:rFonts w:ascii="Times New Roman" w:eastAsia="SimSun" w:hAnsi="Times New Roman" w:cs="Times New Roman"/>
          <w:color w:val="000000"/>
          <w:sz w:val="24"/>
          <w:szCs w:val="24"/>
        </w:rPr>
        <w:t>Le renforcement de l’information par les professionnels de santé, ainsi que des interventions ciblées selon le profil socio-éducatif des familles, pourraient améliorer l’acceptation et la couverture vaccinale.</w:t>
      </w:r>
      <w:r w:rsidR="00792017"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</w:p>
    <w:p w:rsidR="00E27ABA" w:rsidRPr="00E27ABA" w:rsidRDefault="00E27ABA" w:rsidP="00792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16"/>
          <w:szCs w:val="16"/>
        </w:rPr>
      </w:pPr>
    </w:p>
    <w:p w:rsidR="00CC57D8" w:rsidRPr="002F709E" w:rsidRDefault="00792017" w:rsidP="002F70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792017">
        <w:rPr>
          <w:rFonts w:ascii="Times New Roman" w:eastAsia="SimSun" w:hAnsi="Times New Roman" w:cs="Times New Roman"/>
          <w:b/>
          <w:color w:val="000000"/>
          <w:sz w:val="24"/>
          <w:szCs w:val="24"/>
        </w:rPr>
        <w:t>Mots clés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: </w:t>
      </w:r>
      <w:r w:rsidR="00A3676E"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>HPV, Vaccination</w:t>
      </w:r>
      <w:r w:rsidR="00A3676E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Adolescentes</w:t>
      </w:r>
      <w:r w:rsidR="001346ED" w:rsidRPr="001346ED">
        <w:rPr>
          <w:rFonts w:ascii="Times New Roman" w:eastAsia="SimSun" w:hAnsi="Times New Roman" w:cs="Times New Roman"/>
          <w:color w:val="000000"/>
          <w:sz w:val="24"/>
          <w:szCs w:val="24"/>
        </w:rPr>
        <w:t>,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="00A367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Facteurs, </w:t>
      </w:r>
      <w:r w:rsidRPr="00792017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Côte d'Ivoire </w:t>
      </w:r>
    </w:p>
    <w:sectPr w:rsidR="00CC57D8" w:rsidRPr="002F709E">
      <w:footerReference w:type="default" r:id="rId6"/>
      <w:pgSz w:w="11906" w:h="16838"/>
      <w:pgMar w:top="170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389" w:rsidRDefault="00983389" w:rsidP="00792017">
      <w:pPr>
        <w:spacing w:after="0" w:line="240" w:lineRule="auto"/>
      </w:pPr>
      <w:r>
        <w:separator/>
      </w:r>
    </w:p>
  </w:endnote>
  <w:endnote w:type="continuationSeparator" w:id="0">
    <w:p w:rsidR="00983389" w:rsidRDefault="00983389" w:rsidP="0079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F3E" w:rsidRDefault="00983389">
    <w:pPr>
      <w:spacing w:after="0" w:line="240" w:lineRule="auto"/>
      <w:jc w:val="both"/>
      <w:rPr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389" w:rsidRDefault="00983389" w:rsidP="00792017">
      <w:pPr>
        <w:spacing w:after="0" w:line="240" w:lineRule="auto"/>
      </w:pPr>
      <w:r>
        <w:separator/>
      </w:r>
    </w:p>
  </w:footnote>
  <w:footnote w:type="continuationSeparator" w:id="0">
    <w:p w:rsidR="00983389" w:rsidRDefault="00983389" w:rsidP="00792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17"/>
    <w:rsid w:val="00001461"/>
    <w:rsid w:val="00001CEA"/>
    <w:rsid w:val="0013150B"/>
    <w:rsid w:val="001346ED"/>
    <w:rsid w:val="002F709E"/>
    <w:rsid w:val="003D4542"/>
    <w:rsid w:val="00497017"/>
    <w:rsid w:val="004F3294"/>
    <w:rsid w:val="00557084"/>
    <w:rsid w:val="00792017"/>
    <w:rsid w:val="008A6134"/>
    <w:rsid w:val="00983389"/>
    <w:rsid w:val="00A3676E"/>
    <w:rsid w:val="00AE1FBB"/>
    <w:rsid w:val="00CC57D8"/>
    <w:rsid w:val="00E2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23478-1D51-4068-ADC6-4E271A51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2017"/>
  </w:style>
  <w:style w:type="paragraph" w:styleId="Pieddepage">
    <w:name w:val="footer"/>
    <w:basedOn w:val="Normal"/>
    <w:link w:val="PieddepageCar"/>
    <w:uiPriority w:val="99"/>
    <w:unhideWhenUsed/>
    <w:rsid w:val="0079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2025-06-26T18:16:00Z</dcterms:created>
  <dcterms:modified xsi:type="dcterms:W3CDTF">2025-06-26T18:16:00Z</dcterms:modified>
</cp:coreProperties>
</file>