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9929" w14:textId="77777777" w:rsidR="002500B3" w:rsidRDefault="00E03ACF">
      <w:pPr>
        <w:spacing w:line="240" w:lineRule="auto"/>
        <w:jc w:val="both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Profil épidémiologique des décès au Centre Hospitalier Régional de Dapaong, Togo, 2024</w:t>
      </w:r>
    </w:p>
    <w:p w14:paraId="6876BADB" w14:textId="2BFF44C2" w:rsidR="002500B3" w:rsidRDefault="00E03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Komlan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Aziamadji</w:t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1,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2,&amp;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;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Péléké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70A6E">
        <w:rPr>
          <w:rFonts w:ascii="Times New Roman" w:hAnsi="Times New Roman" w:cs="Times New Roman"/>
          <w:b/>
          <w:bCs/>
          <w:sz w:val="20"/>
          <w:szCs w:val="20"/>
        </w:rPr>
        <w:t xml:space="preserve">M. </w:t>
      </w:r>
      <w:r>
        <w:rPr>
          <w:rFonts w:ascii="Times New Roman" w:hAnsi="Times New Roman" w:cs="Times New Roman"/>
          <w:b/>
          <w:bCs/>
          <w:sz w:val="20"/>
          <w:szCs w:val="20"/>
        </w:rPr>
        <w:t>Hilim</w:t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> ;</w:t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Rébécca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Kinde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4</w:t>
      </w:r>
    </w:p>
    <w:p w14:paraId="2DEB6244" w14:textId="77777777" w:rsidR="002500B3" w:rsidRDefault="00E03AC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(1) Centre Hospitalier Régional de Dapaong, Togo </w:t>
      </w:r>
      <w:r>
        <w:rPr>
          <w:rFonts w:ascii="Times New Roman" w:hAnsi="Times New Roman" w:cs="Times New Roman"/>
          <w:sz w:val="20"/>
          <w:szCs w:val="20"/>
          <w:lang w:eastAsia="fr-FR"/>
        </w:rPr>
        <w:t xml:space="preserve">(2) Direction Régionale de la Santé, Savanes, Togo (3) Direction Préfectorale de la Santé, Tone, Togo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(4) AFENET, Lomé, Togo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</w:p>
    <w:p w14:paraId="0908B2A3" w14:textId="77777777" w:rsidR="002500B3" w:rsidRDefault="00E03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fr-FR"/>
        </w:rPr>
        <w:t>&amp;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Auteur correspondant </w:t>
      </w:r>
    </w:p>
    <w:p w14:paraId="21A23B8F" w14:textId="77777777" w:rsidR="002500B3" w:rsidRDefault="00E03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Komlan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Aziamadji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Centre Hospitalier Régional de Dapaong, Togo, 00228 91 55 74 68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e-mail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aziamadjimichel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@gmail.com</w:t>
      </w:r>
    </w:p>
    <w:p w14:paraId="29E8305A" w14:textId="0FE4A79B" w:rsidR="002500B3" w:rsidRDefault="00E03AC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Introduction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mortalité hospitalière</w:t>
      </w:r>
      <w:r w:rsidRPr="00220AB4">
        <w:rPr>
          <w:rFonts w:ascii="Times New Roman" w:eastAsia="Times New Roman" w:hAnsi="Times New Roman" w:cs="Times New Roman"/>
          <w:sz w:val="24"/>
          <w:szCs w:val="24"/>
          <w:lang w:eastAsia="fr-FR"/>
        </w:rPr>
        <w:t>, qui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 indicateur de la qualité des soins</w:t>
      </w:r>
      <w:r w:rsidRPr="00220AB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en nette progression </w:t>
      </w:r>
      <w:r w:rsidRPr="00220AB4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 Centre Hospitalier Régional (CHR) de Dapaong </w:t>
      </w:r>
      <w:r w:rsidRPr="00220AB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depuis 2021 </w:t>
      </w:r>
      <w:r w:rsidRPr="00220AB4">
        <w:rPr>
          <w:rFonts w:ascii="Times New Roman" w:eastAsia="Times New Roman" w:hAnsi="Times New Roman" w:cs="Times New Roman"/>
          <w:sz w:val="24"/>
          <w:szCs w:val="24"/>
          <w:lang w:eastAsia="fr-FR"/>
        </w:rPr>
        <w:t>pa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ssant de </w:t>
      </w:r>
      <w:r>
        <w:rPr>
          <w:rFonts w:ascii="Times New Roman" w:hAnsi="Times New Roman" w:cs="Times New Roman"/>
          <w:sz w:val="24"/>
          <w:szCs w:val="24"/>
        </w:rPr>
        <w:t>49,76‰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</w:t>
      </w:r>
      <w:r>
        <w:rPr>
          <w:rFonts w:ascii="Times New Roman" w:hAnsi="Times New Roman" w:cs="Times New Roman"/>
          <w:sz w:val="24"/>
          <w:szCs w:val="24"/>
        </w:rPr>
        <w:t>60,90‰ en 2023</w:t>
      </w:r>
      <w:r>
        <w:rPr>
          <w:rFonts w:ascii="Times New Roman" w:hAnsi="Times New Roman" w:cs="Times New Roman"/>
          <w:sz w:val="24"/>
          <w:szCs w:val="24"/>
        </w:rPr>
        <w:t xml:space="preserve">. Les causes de cette augmentation de même que le profil </w:t>
      </w:r>
      <w:r>
        <w:rPr>
          <w:rFonts w:ascii="Times New Roman" w:hAnsi="Times New Roman" w:cs="Times New Roman"/>
          <w:sz w:val="24"/>
          <w:szCs w:val="24"/>
        </w:rPr>
        <w:t>des décédés restent non documentés. Nous</w:t>
      </w:r>
      <w:r>
        <w:rPr>
          <w:rFonts w:ascii="Times New Roman" w:hAnsi="Times New Roman" w:cs="Times New Roman"/>
          <w:sz w:val="24"/>
          <w:szCs w:val="24"/>
        </w:rPr>
        <w:t xml:space="preserve"> avons</w:t>
      </w:r>
      <w:r>
        <w:rPr>
          <w:rFonts w:ascii="Times New Roman" w:hAnsi="Times New Roman" w:cs="Times New Roman"/>
          <w:sz w:val="24"/>
          <w:szCs w:val="24"/>
        </w:rPr>
        <w:t xml:space="preserve"> mené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cette étude pour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décrire le profil épidémiologique des décès dans</w:t>
      </w:r>
      <w:r w:rsidRPr="00220AB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</w:t>
      </w:r>
      <w:r w:rsidRPr="00220AB4">
        <w:rPr>
          <w:rFonts w:ascii="Times New Roman" w:eastAsia="Times New Roman" w:hAnsi="Times New Roman" w:cs="Times New Roman"/>
          <w:sz w:val="24"/>
          <w:szCs w:val="24"/>
          <w:lang w:eastAsia="fr-FR"/>
        </w:rPr>
        <w:t>dit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centre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 2024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1D8C06D" w14:textId="0F432353" w:rsidR="002500B3" w:rsidRDefault="00E03AC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Méthodes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: Il s’est agi d’une étude transversale descriptive portant sur une analyse secondaire des données préexistantes des décès survenus au CHR de Dapaong entre le 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Janvier et le 31 Décembre 2024.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Tous les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décès, toutes causes confondues, ont été 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nclus. Nous avons procédé à une revue documentaire des registres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dossiers des patients pour extraire des données sociodémographiques et cliniques.</w:t>
      </w:r>
    </w:p>
    <w:p w14:paraId="3E970662" w14:textId="624E02B0" w:rsidR="002500B3" w:rsidRDefault="00E03AC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Résultats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Au total, 882 décès ont été enregistrés </w:t>
      </w:r>
      <w:r>
        <w:rPr>
          <w:rFonts w:ascii="Times New Roman" w:hAnsi="Times New Roman" w:cs="Times New Roman"/>
          <w:sz w:val="24"/>
          <w:szCs w:val="24"/>
        </w:rPr>
        <w:t>pour 18316 patients hospitalisés soit un t</w:t>
      </w:r>
      <w:r>
        <w:rPr>
          <w:rFonts w:ascii="Times New Roman" w:hAnsi="Times New Roman" w:cs="Times New Roman"/>
          <w:sz w:val="24"/>
          <w:szCs w:val="24"/>
        </w:rPr>
        <w:t>aux de mortalité hospitalière de 48,15‰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Le sex-ratio H/F était de 1,51. L’âge </w:t>
      </w:r>
      <w:r w:rsidR="00C435C4">
        <w:rPr>
          <w:rFonts w:ascii="Times New Roman" w:eastAsia="Times New Roman" w:hAnsi="Times New Roman" w:cs="Times New Roman"/>
          <w:sz w:val="24"/>
          <w:szCs w:val="24"/>
          <w:lang w:eastAsia="fr-FR"/>
        </w:rPr>
        <w:t>médian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était </w:t>
      </w:r>
      <w:r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ans </w:t>
      </w:r>
      <w:r w:rsidR="00C435C4">
        <w:rPr>
          <w:rFonts w:ascii="Times New Roman" w:hAnsi="Times New Roman" w:cs="Times New Roman"/>
          <w:sz w:val="24"/>
          <w:szCs w:val="24"/>
        </w:rPr>
        <w:t xml:space="preserve">IIQ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435C4">
        <w:rPr>
          <w:rFonts w:ascii="Times New Roman" w:hAnsi="Times New Roman" w:cs="Times New Roman"/>
          <w:sz w:val="24"/>
          <w:szCs w:val="24"/>
        </w:rPr>
        <w:t>3-55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 La tranche d’âge</w:t>
      </w:r>
      <w:r>
        <w:rPr>
          <w:rFonts w:ascii="Times New Roman" w:hAnsi="Times New Roman" w:cs="Times New Roman"/>
          <w:sz w:val="24"/>
          <w:szCs w:val="24"/>
        </w:rPr>
        <w:t xml:space="preserve"> de 45 à 54 ans représentait 13,15% (116/882) suivie des 0 à 29 jours 12,81% (113/882)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 La majorité des cas résidait en mili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eu rural 61,33% (541/882).</w:t>
      </w:r>
      <w:r w:rsidR="00C435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maximum de décès était </w:t>
      </w:r>
      <w:r w:rsidR="00174A1C">
        <w:rPr>
          <w:rFonts w:ascii="Times New Roman" w:eastAsia="Times New Roman" w:hAnsi="Times New Roman" w:cs="Times New Roman"/>
          <w:sz w:val="24"/>
          <w:szCs w:val="24"/>
          <w:lang w:eastAsia="fr-FR"/>
        </w:rPr>
        <w:t>enregistré</w:t>
      </w:r>
      <w:r w:rsidR="00C435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636A3">
        <w:rPr>
          <w:rFonts w:ascii="Times New Roman" w:eastAsia="Times New Roman" w:hAnsi="Times New Roman" w:cs="Times New Roman"/>
          <w:sz w:val="24"/>
          <w:szCs w:val="24"/>
          <w:lang w:eastAsia="fr-FR"/>
        </w:rPr>
        <w:t>en</w:t>
      </w:r>
      <w:r w:rsidR="00C435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636A3"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 w:rsidR="00C435C4">
        <w:rPr>
          <w:rFonts w:ascii="Times New Roman" w:eastAsia="Times New Roman" w:hAnsi="Times New Roman" w:cs="Times New Roman"/>
          <w:sz w:val="24"/>
          <w:szCs w:val="24"/>
          <w:lang w:eastAsia="fr-FR"/>
        </w:rPr>
        <w:t>ars avec 94 décès</w:t>
      </w:r>
      <w:r w:rsidR="00174A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="00C435C4">
        <w:rPr>
          <w:rFonts w:ascii="Times New Roman" w:eastAsia="Times New Roman" w:hAnsi="Times New Roman" w:cs="Times New Roman"/>
          <w:sz w:val="24"/>
          <w:szCs w:val="24"/>
          <w:lang w:eastAsia="fr-FR"/>
        </w:rPr>
        <w:t>taux de mortalité</w:t>
      </w:r>
      <w:r w:rsidR="00174A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435C4">
        <w:rPr>
          <w:rFonts w:ascii="Times New Roman" w:eastAsia="Times New Roman" w:hAnsi="Times New Roman" w:cs="Times New Roman"/>
          <w:sz w:val="24"/>
          <w:szCs w:val="24"/>
          <w:lang w:eastAsia="fr-FR"/>
        </w:rPr>
        <w:t>72,2</w:t>
      </w:r>
      <w:r w:rsidR="00C435C4">
        <w:rPr>
          <w:rFonts w:ascii="Times New Roman" w:hAnsi="Times New Roman" w:cs="Times New Roman"/>
          <w:sz w:val="24"/>
          <w:szCs w:val="24"/>
        </w:rPr>
        <w:t>‰</w:t>
      </w:r>
      <w:r w:rsidR="00174A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Les patients référés des unités de soins périphériques représentaient 42,29% (373/882) et 42,51% (375/882) avait une durée d’hospitalisation de moins de 24 heures. Le paludisme grave était la première cause de décès 11,90% (105/8</w:t>
      </w:r>
      <w:r>
        <w:rPr>
          <w:rFonts w:ascii="Times New Roman" w:hAnsi="Times New Roman" w:cs="Times New Roman"/>
          <w:sz w:val="24"/>
          <w:szCs w:val="24"/>
        </w:rPr>
        <w:t>82) suivi des hépatopathies chroniques 8,73% (77/882), des accidents vasculaires cérébraux 8,16% (72/882)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Conclusion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La mortalité hospitalière au CHR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Dapaong reste élevée et touche principalement les sujets relativement </w:t>
      </w:r>
      <w:r w:rsidRPr="00220AB4">
        <w:rPr>
          <w:rFonts w:ascii="Times New Roman" w:eastAsia="Times New Roman" w:hAnsi="Times New Roman" w:cs="Times New Roman"/>
          <w:sz w:val="24"/>
          <w:szCs w:val="24"/>
          <w:lang w:eastAsia="fr-FR"/>
        </w:rPr>
        <w:t>adultes et nouveaux nés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masculin, résident en milieu rural, référé pour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paludisme grave.</w:t>
      </w:r>
      <w:r w:rsidR="00174A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L’identification des facteurs associés au décès précoce et le renforcement du système de référence contre référence sont indispensables</w:t>
      </w:r>
      <w:r w:rsidRPr="00220AB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réduire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71B9F1D5" w14:textId="77777777" w:rsidR="002500B3" w:rsidRDefault="00E03A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Mots clés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 Profi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l, épidémiologique, mortalité hospitalière, décès, Dapaong.  </w:t>
      </w:r>
    </w:p>
    <w:sectPr w:rsidR="00250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491F" w14:textId="77777777" w:rsidR="00E03ACF" w:rsidRDefault="00E03ACF">
      <w:pPr>
        <w:spacing w:line="240" w:lineRule="auto"/>
      </w:pPr>
      <w:r>
        <w:separator/>
      </w:r>
    </w:p>
  </w:endnote>
  <w:endnote w:type="continuationSeparator" w:id="0">
    <w:p w14:paraId="41016328" w14:textId="77777777" w:rsidR="00E03ACF" w:rsidRDefault="00E03A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24E02" w14:textId="77777777" w:rsidR="00E03ACF" w:rsidRDefault="00E03ACF">
      <w:pPr>
        <w:spacing w:after="0"/>
      </w:pPr>
      <w:r>
        <w:separator/>
      </w:r>
    </w:p>
  </w:footnote>
  <w:footnote w:type="continuationSeparator" w:id="0">
    <w:p w14:paraId="1F217415" w14:textId="77777777" w:rsidR="00E03ACF" w:rsidRDefault="00E03A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F50"/>
    <w:rsid w:val="00012809"/>
    <w:rsid w:val="00042527"/>
    <w:rsid w:val="00044CA8"/>
    <w:rsid w:val="000812AA"/>
    <w:rsid w:val="00146A5E"/>
    <w:rsid w:val="00174A1C"/>
    <w:rsid w:val="00195DBD"/>
    <w:rsid w:val="001D2931"/>
    <w:rsid w:val="00215D56"/>
    <w:rsid w:val="00220AB4"/>
    <w:rsid w:val="002500B3"/>
    <w:rsid w:val="0026592F"/>
    <w:rsid w:val="002A0310"/>
    <w:rsid w:val="002D7E15"/>
    <w:rsid w:val="002E38EC"/>
    <w:rsid w:val="002F03E9"/>
    <w:rsid w:val="00370A6E"/>
    <w:rsid w:val="003B7F70"/>
    <w:rsid w:val="00471C04"/>
    <w:rsid w:val="00566E4D"/>
    <w:rsid w:val="00636DF2"/>
    <w:rsid w:val="0064239E"/>
    <w:rsid w:val="0069533A"/>
    <w:rsid w:val="0078793E"/>
    <w:rsid w:val="00792F50"/>
    <w:rsid w:val="007C2CA8"/>
    <w:rsid w:val="007F1FF7"/>
    <w:rsid w:val="00822D3D"/>
    <w:rsid w:val="008C51D0"/>
    <w:rsid w:val="00990EFA"/>
    <w:rsid w:val="009E2C2F"/>
    <w:rsid w:val="00BE3008"/>
    <w:rsid w:val="00C435C4"/>
    <w:rsid w:val="00C77C0F"/>
    <w:rsid w:val="00CD01E2"/>
    <w:rsid w:val="00DE3CBF"/>
    <w:rsid w:val="00E03ACF"/>
    <w:rsid w:val="00E636A3"/>
    <w:rsid w:val="00E80AF5"/>
    <w:rsid w:val="00EC6CE0"/>
    <w:rsid w:val="00EE16DB"/>
    <w:rsid w:val="00F2383A"/>
    <w:rsid w:val="00F3240D"/>
    <w:rsid w:val="00F94F2E"/>
    <w:rsid w:val="00FB7BAC"/>
    <w:rsid w:val="7011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615B"/>
  <w15:docId w15:val="{4C41AF73-7A81-4995-87D9-C3D075E1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uiPriority w:val="99"/>
    <w:semiHidden/>
    <w:unhideWhenUsed/>
  </w:style>
  <w:style w:type="paragraph" w:customStyle="1" w:styleId="Rvision1">
    <w:name w:val="Révision1"/>
    <w:hidden/>
    <w:uiPriority w:val="99"/>
    <w:semiHidden/>
    <w:rPr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220A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HPUGP3</dc:creator>
  <cp:lastModifiedBy>HPUGP3</cp:lastModifiedBy>
  <cp:revision>29</cp:revision>
  <dcterms:created xsi:type="dcterms:W3CDTF">2025-05-19T23:29:00Z</dcterms:created>
  <dcterms:modified xsi:type="dcterms:W3CDTF">2025-05-23T19:51:00Z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1036-12.2.0.21179</vt:lpwstr>
  </property>
  <property fmtid="{D5CDD505-2E9C-101B-9397-08002B2CF9AE}" pid="3" name="ICV">
    <vt:lpwstr>1465365D59264453AA316519FDA0E47A_13</vt:lpwstr>
  </property>
</Properties>
</file>