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7536" w14:textId="250C654C" w:rsidR="001D35DE" w:rsidRDefault="00C04A71" w:rsidP="00C04A71">
      <w:pPr>
        <w:shd w:val="clear" w:color="auto" w:fill="4C94D8" w:themeFill="text2" w:themeFillTint="80"/>
        <w:spacing w:after="0"/>
        <w:jc w:val="center"/>
        <w:rPr>
          <w:rFonts w:ascii="Times New Roman" w:hAnsi="Times New Roman" w:cs="Times New Roman"/>
          <w:b/>
          <w:sz w:val="28"/>
        </w:rPr>
      </w:pPr>
      <w:r w:rsidRPr="007C402B">
        <w:rPr>
          <w:rFonts w:ascii="Times New Roman" w:hAnsi="Times New Roman" w:cs="Times New Roman"/>
          <w:b/>
          <w:sz w:val="28"/>
        </w:rPr>
        <w:t>Durabilité des anticorps anti-SARS-CoV-2 chez les professionnels de santé vaccinés contre la COVID-19 au Congo</w:t>
      </w:r>
    </w:p>
    <w:p w14:paraId="37F0616E" w14:textId="77777777" w:rsidR="00C04A71" w:rsidRPr="007C402B" w:rsidRDefault="00C04A71" w:rsidP="00C04A71">
      <w:pPr>
        <w:spacing w:after="0" w:line="360" w:lineRule="auto"/>
        <w:jc w:val="both"/>
        <w:rPr>
          <w:rFonts w:ascii="Times New Roman" w:hAnsi="Times New Roman" w:cs="Times New Roman"/>
          <w:vertAlign w:val="superscript"/>
        </w:rPr>
      </w:pPr>
      <w:r w:rsidRPr="007C402B">
        <w:rPr>
          <w:rFonts w:ascii="Times New Roman" w:hAnsi="Times New Roman" w:cs="Times New Roman"/>
        </w:rPr>
        <w:t>Jethro MASSALA PEYA</w:t>
      </w:r>
      <w:r w:rsidRPr="007C402B">
        <w:rPr>
          <w:rFonts w:ascii="Times New Roman" w:hAnsi="Times New Roman" w:cs="Times New Roman"/>
          <w:vertAlign w:val="superscript"/>
        </w:rPr>
        <w:t>1,2</w:t>
      </w:r>
      <w:r w:rsidRPr="007C402B">
        <w:rPr>
          <w:rFonts w:ascii="Times New Roman" w:hAnsi="Times New Roman" w:cs="Times New Roman"/>
        </w:rPr>
        <w:t>, Gilbert NDZIESSI</w:t>
      </w:r>
      <w:r w:rsidRPr="007C402B">
        <w:rPr>
          <w:rFonts w:ascii="Times New Roman" w:hAnsi="Times New Roman" w:cs="Times New Roman"/>
          <w:vertAlign w:val="superscript"/>
        </w:rPr>
        <w:t>1</w:t>
      </w:r>
      <w:r w:rsidRPr="007C402B">
        <w:rPr>
          <w:rFonts w:ascii="Times New Roman" w:hAnsi="Times New Roman" w:cs="Times New Roman"/>
        </w:rPr>
        <w:t>, Gérard ELOKO EYA MATANGELO</w:t>
      </w:r>
      <w:r w:rsidRPr="007C402B">
        <w:rPr>
          <w:rFonts w:ascii="Times New Roman" w:hAnsi="Times New Roman" w:cs="Times New Roman"/>
          <w:vertAlign w:val="superscript"/>
        </w:rPr>
        <w:t>2</w:t>
      </w:r>
      <w:r w:rsidRPr="007C402B">
        <w:rPr>
          <w:rFonts w:ascii="Times New Roman" w:hAnsi="Times New Roman" w:cs="Times New Roman"/>
        </w:rPr>
        <w:t xml:space="preserve">, </w:t>
      </w:r>
      <w:proofErr w:type="spellStart"/>
      <w:r w:rsidRPr="007C402B">
        <w:rPr>
          <w:rFonts w:ascii="Times New Roman" w:hAnsi="Times New Roman" w:cs="Times New Roman"/>
        </w:rPr>
        <w:t>Leyka</w:t>
      </w:r>
      <w:proofErr w:type="spellEnd"/>
      <w:r w:rsidRPr="007C402B">
        <w:rPr>
          <w:rFonts w:ascii="Times New Roman" w:hAnsi="Times New Roman" w:cs="Times New Roman"/>
        </w:rPr>
        <w:t xml:space="preserve"> MUKANDU BASUA BABINTU</w:t>
      </w:r>
      <w:r w:rsidRPr="007C402B">
        <w:rPr>
          <w:rFonts w:ascii="Times New Roman" w:hAnsi="Times New Roman" w:cs="Times New Roman"/>
          <w:vertAlign w:val="superscript"/>
        </w:rPr>
        <w:t>2</w:t>
      </w:r>
      <w:r w:rsidRPr="007C402B">
        <w:rPr>
          <w:rFonts w:ascii="Times New Roman" w:hAnsi="Times New Roman" w:cs="Times New Roman"/>
        </w:rPr>
        <w:t>, Roch Fabien NIAMA</w:t>
      </w:r>
      <w:r w:rsidRPr="007C402B">
        <w:rPr>
          <w:rFonts w:ascii="Times New Roman" w:hAnsi="Times New Roman" w:cs="Times New Roman"/>
          <w:vertAlign w:val="superscript"/>
        </w:rPr>
        <w:t>3,4</w:t>
      </w:r>
      <w:r w:rsidRPr="007C402B">
        <w:rPr>
          <w:rFonts w:ascii="Times New Roman" w:hAnsi="Times New Roman" w:cs="Times New Roman"/>
        </w:rPr>
        <w:t>, Joseph Axel NGATSE</w:t>
      </w:r>
      <w:r w:rsidRPr="007C402B">
        <w:rPr>
          <w:rFonts w:ascii="Times New Roman" w:hAnsi="Times New Roman" w:cs="Times New Roman"/>
          <w:vertAlign w:val="superscript"/>
        </w:rPr>
        <w:t>1</w:t>
      </w:r>
      <w:r w:rsidRPr="007C402B">
        <w:rPr>
          <w:rFonts w:ascii="Times New Roman" w:hAnsi="Times New Roman" w:cs="Times New Roman"/>
        </w:rPr>
        <w:t>, Ange Clauvel NIAMA</w:t>
      </w:r>
      <w:r w:rsidRPr="007C402B">
        <w:rPr>
          <w:rFonts w:ascii="Times New Roman" w:hAnsi="Times New Roman" w:cs="Times New Roman"/>
          <w:vertAlign w:val="superscript"/>
        </w:rPr>
        <w:t>1</w:t>
      </w:r>
      <w:r w:rsidRPr="007C402B">
        <w:rPr>
          <w:rFonts w:ascii="Times New Roman" w:hAnsi="Times New Roman" w:cs="Times New Roman"/>
        </w:rPr>
        <w:t>, Roger Richard BILECKOT</w:t>
      </w:r>
      <w:r w:rsidRPr="007C402B">
        <w:rPr>
          <w:rFonts w:ascii="Times New Roman" w:hAnsi="Times New Roman" w:cs="Times New Roman"/>
          <w:vertAlign w:val="superscript"/>
        </w:rPr>
        <w:t>1</w:t>
      </w:r>
    </w:p>
    <w:p w14:paraId="1BD685C4" w14:textId="77777777" w:rsidR="00C04A71" w:rsidRPr="007C402B" w:rsidRDefault="00C04A71" w:rsidP="00C04A71">
      <w:pPr>
        <w:spacing w:after="0" w:line="276" w:lineRule="auto"/>
        <w:jc w:val="both"/>
        <w:rPr>
          <w:rFonts w:ascii="Times New Roman" w:hAnsi="Times New Roman" w:cs="Times New Roman"/>
          <w:i/>
        </w:rPr>
      </w:pPr>
      <w:r w:rsidRPr="007C402B">
        <w:rPr>
          <w:rFonts w:ascii="Times New Roman" w:hAnsi="Times New Roman" w:cs="Times New Roman"/>
          <w:i/>
          <w:vertAlign w:val="superscript"/>
        </w:rPr>
        <w:t xml:space="preserve">1 </w:t>
      </w:r>
      <w:r w:rsidRPr="007C402B">
        <w:rPr>
          <w:rFonts w:ascii="Times New Roman" w:hAnsi="Times New Roman" w:cs="Times New Roman"/>
          <w:i/>
        </w:rPr>
        <w:t xml:space="preserve">Université de Marien NGOUABI, Faculté des Sciences de la Santé, Congo ; </w:t>
      </w:r>
      <w:r w:rsidRPr="007C402B">
        <w:rPr>
          <w:rFonts w:ascii="Times New Roman" w:hAnsi="Times New Roman" w:cs="Times New Roman"/>
          <w:i/>
          <w:vertAlign w:val="superscript"/>
        </w:rPr>
        <w:t>2</w:t>
      </w:r>
      <w:r w:rsidRPr="007C402B">
        <w:rPr>
          <w:rFonts w:ascii="Times New Roman" w:hAnsi="Times New Roman" w:cs="Times New Roman"/>
          <w:i/>
        </w:rPr>
        <w:t xml:space="preserve"> Institut Supérieur des Techniques Médicales de Kinshasa, RDC ;</w:t>
      </w:r>
      <w:r w:rsidRPr="007C402B">
        <w:rPr>
          <w:rFonts w:ascii="Times New Roman" w:hAnsi="Times New Roman" w:cs="Times New Roman"/>
          <w:i/>
          <w:vertAlign w:val="superscript"/>
        </w:rPr>
        <w:t>3</w:t>
      </w:r>
      <w:r w:rsidRPr="007C402B">
        <w:rPr>
          <w:rFonts w:ascii="Times New Roman" w:hAnsi="Times New Roman" w:cs="Times New Roman"/>
          <w:i/>
        </w:rPr>
        <w:t xml:space="preserve"> Université Marien NGOUABI, Faculté des Sciences Techniques, Congo ; </w:t>
      </w:r>
      <w:r w:rsidRPr="007C402B">
        <w:rPr>
          <w:rFonts w:ascii="Times New Roman" w:hAnsi="Times New Roman" w:cs="Times New Roman"/>
          <w:i/>
          <w:vertAlign w:val="superscript"/>
        </w:rPr>
        <w:t>4</w:t>
      </w:r>
      <w:r w:rsidRPr="007C402B">
        <w:rPr>
          <w:rFonts w:ascii="Times New Roman" w:hAnsi="Times New Roman" w:cs="Times New Roman"/>
          <w:i/>
        </w:rPr>
        <w:t xml:space="preserve"> Laboratoire National de Santé Publique, Congo.</w:t>
      </w:r>
    </w:p>
    <w:p w14:paraId="5A517F09" w14:textId="0FD66AA7" w:rsidR="00C04A71" w:rsidRDefault="00C04A71" w:rsidP="00C04A71">
      <w:pPr>
        <w:spacing w:line="276" w:lineRule="auto"/>
      </w:pPr>
      <w:r w:rsidRPr="007C402B">
        <w:rPr>
          <w:rFonts w:ascii="Times New Roman" w:hAnsi="Times New Roman" w:cs="Times New Roman"/>
          <w:b/>
          <w:u w:val="single"/>
        </w:rPr>
        <w:t>Auteur correspondant</w:t>
      </w:r>
      <w:r w:rsidRPr="007C402B">
        <w:rPr>
          <w:rFonts w:ascii="Times New Roman" w:hAnsi="Times New Roman" w:cs="Times New Roman"/>
        </w:rPr>
        <w:t xml:space="preserve"> : Jethro MASSALA PEYA, </w:t>
      </w:r>
      <w:hyperlink r:id="rId4" w:history="1">
        <w:r w:rsidRPr="007C402B">
          <w:rPr>
            <w:rStyle w:val="Lienhypertexte"/>
            <w:rFonts w:ascii="Times New Roman" w:hAnsi="Times New Roman" w:cs="Times New Roman"/>
          </w:rPr>
          <w:t>jethromassala@gmail.com</w:t>
        </w:r>
      </w:hyperlink>
    </w:p>
    <w:p w14:paraId="0BC26147" w14:textId="77777777" w:rsidR="00C04A71" w:rsidRPr="007C402B" w:rsidRDefault="00C04A71" w:rsidP="00C04A71">
      <w:pPr>
        <w:pStyle w:val="Titre2"/>
        <w:spacing w:before="0" w:after="0" w:line="360" w:lineRule="auto"/>
        <w:jc w:val="center"/>
        <w:rPr>
          <w:rFonts w:ascii="Times New Roman" w:hAnsi="Times New Roman" w:cs="Times New Roman"/>
          <w:b/>
          <w:bCs/>
          <w:color w:val="auto"/>
          <w:sz w:val="24"/>
          <w:szCs w:val="24"/>
          <w:u w:val="thick"/>
        </w:rPr>
      </w:pPr>
      <w:bookmarkStart w:id="0" w:name="_Toc201553878"/>
      <w:r w:rsidRPr="007C402B">
        <w:rPr>
          <w:rFonts w:ascii="Times New Roman" w:hAnsi="Times New Roman" w:cs="Times New Roman"/>
          <w:b/>
          <w:bCs/>
          <w:color w:val="auto"/>
          <w:sz w:val="24"/>
          <w:szCs w:val="24"/>
          <w:u w:val="thick"/>
        </w:rPr>
        <w:t>Résumé</w:t>
      </w:r>
      <w:bookmarkEnd w:id="0"/>
    </w:p>
    <w:p w14:paraId="3B1A9578" w14:textId="77777777" w:rsidR="00C04A71" w:rsidRPr="007C402B" w:rsidRDefault="00C04A71" w:rsidP="00C04A71">
      <w:pPr>
        <w:spacing w:after="0" w:line="360" w:lineRule="auto"/>
        <w:jc w:val="both"/>
        <w:rPr>
          <w:rFonts w:ascii="Times New Roman" w:hAnsi="Times New Roman" w:cs="Times New Roman"/>
          <w:b/>
          <w:i/>
          <w:iCs/>
          <w:u w:val="thick"/>
        </w:rPr>
      </w:pPr>
      <w:r w:rsidRPr="007C402B">
        <w:rPr>
          <w:rFonts w:ascii="Times New Roman" w:hAnsi="Times New Roman" w:cs="Times New Roman"/>
          <w:b/>
          <w:i/>
          <w:iCs/>
          <w:u w:val="thick"/>
        </w:rPr>
        <w:t xml:space="preserve">Introduction </w:t>
      </w:r>
    </w:p>
    <w:p w14:paraId="05E4EAAC" w14:textId="77777777" w:rsidR="00C04A71" w:rsidRPr="007C402B" w:rsidRDefault="00C04A71" w:rsidP="00C04A71">
      <w:pPr>
        <w:spacing w:after="0" w:line="360" w:lineRule="auto"/>
        <w:jc w:val="both"/>
        <w:rPr>
          <w:rFonts w:ascii="Times New Roman" w:hAnsi="Times New Roman" w:cs="Times New Roman"/>
        </w:rPr>
      </w:pPr>
      <w:r w:rsidRPr="007C402B">
        <w:rPr>
          <w:rFonts w:ascii="Times New Roman" w:hAnsi="Times New Roman" w:cs="Times New Roman"/>
        </w:rPr>
        <w:t xml:space="preserve">La vaccination contre la COVID-19 est une stratégie clé dans la lutte contre la pandémie. Alors que de nombreuses études se concentrent sur la protection jusqu’à six mois, cette étude explore la durée de la protection </w:t>
      </w:r>
      <w:r>
        <w:rPr>
          <w:rFonts w:ascii="Times New Roman" w:hAnsi="Times New Roman" w:cs="Times New Roman"/>
        </w:rPr>
        <w:t>jusqu’à</w:t>
      </w:r>
      <w:r w:rsidRPr="007C402B">
        <w:rPr>
          <w:rFonts w:ascii="Times New Roman" w:hAnsi="Times New Roman" w:cs="Times New Roman"/>
        </w:rPr>
        <w:t xml:space="preserve"> </w:t>
      </w:r>
      <w:r>
        <w:rPr>
          <w:rFonts w:ascii="Times New Roman" w:hAnsi="Times New Roman" w:cs="Times New Roman"/>
        </w:rPr>
        <w:t>49</w:t>
      </w:r>
      <w:r w:rsidRPr="007C402B">
        <w:rPr>
          <w:rFonts w:ascii="Times New Roman" w:hAnsi="Times New Roman" w:cs="Times New Roman"/>
        </w:rPr>
        <w:t xml:space="preserve"> mois, en mettant l’accent sur les professionnels de santé.</w:t>
      </w:r>
    </w:p>
    <w:p w14:paraId="3A0B864D" w14:textId="77777777" w:rsidR="00C04A71" w:rsidRPr="007C402B" w:rsidRDefault="00C04A71" w:rsidP="00C04A71">
      <w:pPr>
        <w:spacing w:after="0" w:line="360" w:lineRule="auto"/>
        <w:jc w:val="both"/>
        <w:rPr>
          <w:rFonts w:ascii="Times New Roman" w:hAnsi="Times New Roman" w:cs="Times New Roman"/>
          <w:b/>
          <w:i/>
          <w:iCs/>
          <w:u w:val="single"/>
        </w:rPr>
      </w:pPr>
      <w:r w:rsidRPr="007C402B">
        <w:rPr>
          <w:rFonts w:ascii="Times New Roman" w:hAnsi="Times New Roman" w:cs="Times New Roman"/>
          <w:b/>
          <w:i/>
          <w:iCs/>
          <w:u w:val="single"/>
        </w:rPr>
        <w:t>Méthodes</w:t>
      </w:r>
    </w:p>
    <w:p w14:paraId="672C0C31" w14:textId="77777777" w:rsidR="00C04A71" w:rsidRPr="007C402B" w:rsidRDefault="00C04A71" w:rsidP="00C04A71">
      <w:pPr>
        <w:spacing w:after="0" w:line="360" w:lineRule="auto"/>
        <w:jc w:val="both"/>
        <w:rPr>
          <w:rFonts w:ascii="Times New Roman" w:hAnsi="Times New Roman" w:cs="Times New Roman"/>
          <w:b/>
        </w:rPr>
      </w:pPr>
      <w:r w:rsidRPr="007C402B">
        <w:rPr>
          <w:rFonts w:ascii="Times New Roman" w:hAnsi="Times New Roman" w:cs="Times New Roman"/>
        </w:rPr>
        <w:t xml:space="preserve">Une étude transversale a été réalisée </w:t>
      </w:r>
      <w:r>
        <w:rPr>
          <w:rFonts w:ascii="Times New Roman" w:hAnsi="Times New Roman" w:cs="Times New Roman"/>
        </w:rPr>
        <w:t>chez</w:t>
      </w:r>
      <w:r w:rsidRPr="007C402B">
        <w:rPr>
          <w:rFonts w:ascii="Times New Roman" w:hAnsi="Times New Roman" w:cs="Times New Roman"/>
        </w:rPr>
        <w:t xml:space="preserve"> </w:t>
      </w:r>
      <w:r>
        <w:rPr>
          <w:rFonts w:ascii="Times New Roman" w:hAnsi="Times New Roman" w:cs="Times New Roman"/>
        </w:rPr>
        <w:t>l</w:t>
      </w:r>
      <w:r w:rsidRPr="007C402B">
        <w:rPr>
          <w:rFonts w:ascii="Times New Roman" w:hAnsi="Times New Roman" w:cs="Times New Roman"/>
        </w:rPr>
        <w:t>es professionnels de santé vaccinés à Brazzaville. Des échantillons de sérum ont été prélevés et analysés pour mesurer les anticorps anti-S, anti-RBD et anti-N</w:t>
      </w:r>
      <w:r>
        <w:rPr>
          <w:rFonts w:ascii="Times New Roman" w:hAnsi="Times New Roman" w:cs="Times New Roman"/>
        </w:rPr>
        <w:t>,</w:t>
      </w:r>
      <w:r w:rsidRPr="007C402B">
        <w:rPr>
          <w:rFonts w:ascii="Times New Roman" w:hAnsi="Times New Roman" w:cs="Times New Roman"/>
        </w:rPr>
        <w:t xml:space="preserve"> à l’aide de la méthode d’immunodosage multiplex sur microsphères </w:t>
      </w:r>
      <w:proofErr w:type="spellStart"/>
      <w:r w:rsidRPr="007C402B">
        <w:rPr>
          <w:rFonts w:ascii="Times New Roman" w:hAnsi="Times New Roman" w:cs="Times New Roman"/>
        </w:rPr>
        <w:t>MagPlex</w:t>
      </w:r>
      <w:proofErr w:type="spellEnd"/>
      <w:r w:rsidRPr="007C402B">
        <w:rPr>
          <w:rFonts w:ascii="Times New Roman" w:hAnsi="Times New Roman" w:cs="Times New Roman"/>
        </w:rPr>
        <w:t>. Les données ont été analysées avec le logiciel R 4.4.2.</w:t>
      </w:r>
    </w:p>
    <w:p w14:paraId="1FDC93F0" w14:textId="77777777" w:rsidR="00C04A71" w:rsidRPr="007C402B" w:rsidRDefault="00C04A71" w:rsidP="00C04A71">
      <w:pPr>
        <w:spacing w:after="0" w:line="360" w:lineRule="auto"/>
        <w:jc w:val="both"/>
        <w:rPr>
          <w:rFonts w:ascii="Times New Roman" w:hAnsi="Times New Roman" w:cs="Times New Roman"/>
          <w:b/>
          <w:i/>
          <w:iCs/>
          <w:u w:val="single"/>
        </w:rPr>
      </w:pPr>
      <w:r w:rsidRPr="007C402B">
        <w:rPr>
          <w:rFonts w:ascii="Times New Roman" w:hAnsi="Times New Roman" w:cs="Times New Roman"/>
          <w:b/>
          <w:i/>
          <w:iCs/>
          <w:u w:val="single"/>
        </w:rPr>
        <w:t>Résultats</w:t>
      </w:r>
    </w:p>
    <w:p w14:paraId="6C241362" w14:textId="77777777" w:rsidR="00C04A71" w:rsidRPr="007C402B" w:rsidRDefault="00C04A71" w:rsidP="00C04A71">
      <w:pPr>
        <w:spacing w:after="0" w:line="360" w:lineRule="auto"/>
        <w:jc w:val="both"/>
        <w:rPr>
          <w:rFonts w:ascii="Times New Roman" w:hAnsi="Times New Roman" w:cs="Times New Roman"/>
        </w:rPr>
      </w:pPr>
      <w:r>
        <w:rPr>
          <w:rFonts w:ascii="Times New Roman" w:hAnsi="Times New Roman" w:cs="Times New Roman"/>
        </w:rPr>
        <w:t>Au total 148 professionnels de santé étaient inclus. 75</w:t>
      </w:r>
      <w:r w:rsidRPr="007C402B">
        <w:rPr>
          <w:rFonts w:ascii="Times New Roman" w:hAnsi="Times New Roman" w:cs="Times New Roman"/>
        </w:rPr>
        <w:t>,</w:t>
      </w:r>
      <w:r>
        <w:rPr>
          <w:rFonts w:ascii="Times New Roman" w:hAnsi="Times New Roman" w:cs="Times New Roman"/>
        </w:rPr>
        <w:t>7</w:t>
      </w:r>
      <w:r w:rsidRPr="007C402B">
        <w:rPr>
          <w:rFonts w:ascii="Times New Roman" w:hAnsi="Times New Roman" w:cs="Times New Roman"/>
        </w:rPr>
        <w:t xml:space="preserve">% </w:t>
      </w:r>
      <w:r>
        <w:rPr>
          <w:rFonts w:ascii="Times New Roman" w:hAnsi="Times New Roman" w:cs="Times New Roman"/>
        </w:rPr>
        <w:t>était des femmes ;</w:t>
      </w:r>
      <w:r w:rsidRPr="007C402B">
        <w:rPr>
          <w:rFonts w:ascii="Times New Roman" w:hAnsi="Times New Roman" w:cs="Times New Roman"/>
        </w:rPr>
        <w:t xml:space="preserve"> l’âge moyen de de 42,30 ± 11,40 ans, </w:t>
      </w:r>
      <w:r>
        <w:rPr>
          <w:rFonts w:ascii="Times New Roman" w:hAnsi="Times New Roman" w:cs="Times New Roman"/>
        </w:rPr>
        <w:t>50,7% des infirmiers, 17,6% avait l’hypertension artérielle, 39,9%</w:t>
      </w:r>
      <w:r w:rsidRPr="007C402B">
        <w:rPr>
          <w:rFonts w:ascii="Times New Roman" w:hAnsi="Times New Roman" w:cs="Times New Roman"/>
        </w:rPr>
        <w:t xml:space="preserve"> vaccinées par </w:t>
      </w:r>
      <w:r>
        <w:rPr>
          <w:rFonts w:ascii="Times New Roman" w:hAnsi="Times New Roman" w:cs="Times New Roman"/>
        </w:rPr>
        <w:t>Johnson &amp; Johnson</w:t>
      </w:r>
      <w:r w:rsidRPr="007C402B">
        <w:rPr>
          <w:rFonts w:ascii="Times New Roman" w:hAnsi="Times New Roman" w:cs="Times New Roman"/>
        </w:rPr>
        <w:t xml:space="preserve">. Le délai moyen de prise de la dernière dose était de 3,57 ± 0,43 ans. </w:t>
      </w:r>
      <w:r>
        <w:rPr>
          <w:rFonts w:ascii="Times New Roman" w:hAnsi="Times New Roman" w:cs="Times New Roman"/>
        </w:rPr>
        <w:t>Les valeurs de concentration médiane des anticorps anti-S, anti-RBD et anti-N étaient respectivement de 14 293,0 (Q1= 4 295,5, Q3 = 25,65,0), 38 321,0 (Q1 = 26 636,0, Q3 = 42 917,5) et 24 157,0 (Q1 = 14 378,0, Q3 = 29 394,5)</w:t>
      </w:r>
      <w:r w:rsidRPr="007C402B">
        <w:rPr>
          <w:rFonts w:ascii="Times New Roman" w:hAnsi="Times New Roman" w:cs="Times New Roman"/>
        </w:rPr>
        <w:t xml:space="preserve">. </w:t>
      </w:r>
      <w:r>
        <w:rPr>
          <w:rFonts w:ascii="Times New Roman" w:hAnsi="Times New Roman" w:cs="Times New Roman"/>
        </w:rPr>
        <w:t>La séroprévalence (S+) globale était de 84,9%, celle du profil S+N+ de 81,7% et S+N- de 3,2%. La séroprévalence ne différait pas significativement en fonction des vaccins, de la dose de rappel et du délai de vaccination</w:t>
      </w:r>
      <w:r w:rsidRPr="007C402B">
        <w:rPr>
          <w:rFonts w:ascii="Times New Roman" w:hAnsi="Times New Roman" w:cs="Times New Roman"/>
        </w:rPr>
        <w:t>.</w:t>
      </w:r>
    </w:p>
    <w:p w14:paraId="3F089575" w14:textId="77777777" w:rsidR="00C04A71" w:rsidRPr="007C402B" w:rsidRDefault="00C04A71" w:rsidP="00C04A71">
      <w:pPr>
        <w:spacing w:after="0" w:line="360" w:lineRule="auto"/>
        <w:jc w:val="both"/>
        <w:rPr>
          <w:rFonts w:ascii="Times New Roman" w:hAnsi="Times New Roman" w:cs="Times New Roman"/>
          <w:b/>
          <w:i/>
          <w:iCs/>
          <w:u w:val="single"/>
        </w:rPr>
      </w:pPr>
      <w:r w:rsidRPr="007C402B">
        <w:rPr>
          <w:rFonts w:ascii="Times New Roman" w:hAnsi="Times New Roman" w:cs="Times New Roman"/>
          <w:b/>
          <w:i/>
          <w:iCs/>
          <w:u w:val="single"/>
        </w:rPr>
        <w:t xml:space="preserve">Conclusion </w:t>
      </w:r>
    </w:p>
    <w:p w14:paraId="475A70E9" w14:textId="77777777" w:rsidR="00C04A71" w:rsidRPr="007C402B" w:rsidRDefault="00C04A71" w:rsidP="00C04A71">
      <w:pPr>
        <w:spacing w:after="0" w:line="360" w:lineRule="auto"/>
        <w:jc w:val="both"/>
        <w:rPr>
          <w:rFonts w:ascii="Times New Roman" w:hAnsi="Times New Roman" w:cs="Times New Roman"/>
        </w:rPr>
      </w:pPr>
      <w:r w:rsidRPr="007C402B">
        <w:rPr>
          <w:rFonts w:ascii="Times New Roman" w:hAnsi="Times New Roman" w:cs="Times New Roman"/>
        </w:rPr>
        <w:t xml:space="preserve">Cette étude montre une persistance des anticorps jusqu’à </w:t>
      </w:r>
      <w:r>
        <w:rPr>
          <w:rFonts w:ascii="Times New Roman" w:hAnsi="Times New Roman" w:cs="Times New Roman"/>
        </w:rPr>
        <w:t>49</w:t>
      </w:r>
      <w:r w:rsidRPr="007C402B">
        <w:rPr>
          <w:rFonts w:ascii="Times New Roman" w:hAnsi="Times New Roman" w:cs="Times New Roman"/>
        </w:rPr>
        <w:t xml:space="preserve"> mois après l’administration de la dernière dose du vaccin. </w:t>
      </w:r>
      <w:r>
        <w:rPr>
          <w:rFonts w:ascii="Times New Roman" w:hAnsi="Times New Roman" w:cs="Times New Roman"/>
        </w:rPr>
        <w:t xml:space="preserve">Cette persistance est renforcée par des réinfections répétées. </w:t>
      </w:r>
      <w:r w:rsidRPr="007C402B">
        <w:rPr>
          <w:rFonts w:ascii="Times New Roman" w:hAnsi="Times New Roman" w:cs="Times New Roman"/>
        </w:rPr>
        <w:t xml:space="preserve">Nos résultats suggèrent de réaliser </w:t>
      </w:r>
      <w:r>
        <w:rPr>
          <w:rFonts w:ascii="Times New Roman" w:hAnsi="Times New Roman" w:cs="Times New Roman"/>
        </w:rPr>
        <w:t>une étude longitudinale pour suivre l’évolution des anticorps et de faire des études sur la capacité fonctionnelle des anticorps détectés</w:t>
      </w:r>
      <w:r w:rsidRPr="007C402B">
        <w:rPr>
          <w:rFonts w:ascii="Times New Roman" w:hAnsi="Times New Roman" w:cs="Times New Roman"/>
        </w:rPr>
        <w:t>.</w:t>
      </w:r>
    </w:p>
    <w:p w14:paraId="44AF14EB" w14:textId="12CAE55D" w:rsidR="00C04A71" w:rsidRPr="00C04A71" w:rsidRDefault="00C04A71" w:rsidP="00C04A71">
      <w:pPr>
        <w:spacing w:after="0" w:line="360" w:lineRule="auto"/>
        <w:jc w:val="both"/>
        <w:rPr>
          <w:rFonts w:ascii="Times New Roman" w:hAnsi="Times New Roman" w:cs="Times New Roman"/>
          <w:i/>
        </w:rPr>
      </w:pPr>
      <w:r w:rsidRPr="007C402B">
        <w:rPr>
          <w:rFonts w:ascii="Times New Roman" w:hAnsi="Times New Roman" w:cs="Times New Roman"/>
          <w:b/>
          <w:i/>
          <w:u w:val="single"/>
        </w:rPr>
        <w:t>Mots clés</w:t>
      </w:r>
      <w:r w:rsidRPr="007C402B">
        <w:rPr>
          <w:rFonts w:ascii="Times New Roman" w:hAnsi="Times New Roman" w:cs="Times New Roman"/>
          <w:i/>
        </w:rPr>
        <w:t> : Anticorps – Vaccin COVID-19 – République du Congo</w:t>
      </w:r>
    </w:p>
    <w:sectPr w:rsidR="00C04A71" w:rsidRPr="00C04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71"/>
    <w:rsid w:val="001D35DE"/>
    <w:rsid w:val="003646DF"/>
    <w:rsid w:val="0040704C"/>
    <w:rsid w:val="00411EAE"/>
    <w:rsid w:val="009C1B0C"/>
    <w:rsid w:val="009F3950"/>
    <w:rsid w:val="00C04A71"/>
  </w:rsids>
  <m:mathPr>
    <m:mathFont m:val="Cambria Math"/>
    <m:brkBin m:val="before"/>
    <m:brkBinSub m:val="--"/>
    <m:smallFrac m:val="0"/>
    <m:dispDef/>
    <m:lMargin m:val="0"/>
    <m:rMargin m:val="0"/>
    <m:defJc m:val="centerGroup"/>
    <m:wrapIndent m:val="1440"/>
    <m:intLim m:val="subSup"/>
    <m:naryLim m:val="undOvr"/>
  </m:mathPr>
  <w:themeFontLang w:val="fr-C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B78A"/>
  <w15:chartTrackingRefBased/>
  <w15:docId w15:val="{F2504F80-E86D-4340-B6CA-978165B1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C04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04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4A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4A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4A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4A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4A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4A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4A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4A71"/>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rsid w:val="00C04A71"/>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C04A71"/>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C04A71"/>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C04A71"/>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C04A71"/>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C04A71"/>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C04A71"/>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C04A71"/>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C04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4A71"/>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C04A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4A71"/>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C04A71"/>
    <w:pPr>
      <w:spacing w:before="160"/>
      <w:jc w:val="center"/>
    </w:pPr>
    <w:rPr>
      <w:i/>
      <w:iCs/>
      <w:color w:val="404040" w:themeColor="text1" w:themeTint="BF"/>
    </w:rPr>
  </w:style>
  <w:style w:type="character" w:customStyle="1" w:styleId="CitationCar">
    <w:name w:val="Citation Car"/>
    <w:basedOn w:val="Policepardfaut"/>
    <w:link w:val="Citation"/>
    <w:uiPriority w:val="29"/>
    <w:rsid w:val="00C04A71"/>
    <w:rPr>
      <w:i/>
      <w:iCs/>
      <w:color w:val="404040" w:themeColor="text1" w:themeTint="BF"/>
      <w:lang w:val="fr-FR"/>
    </w:rPr>
  </w:style>
  <w:style w:type="paragraph" w:styleId="Paragraphedeliste">
    <w:name w:val="List Paragraph"/>
    <w:basedOn w:val="Normal"/>
    <w:uiPriority w:val="34"/>
    <w:qFormat/>
    <w:rsid w:val="00C04A71"/>
    <w:pPr>
      <w:ind w:left="720"/>
      <w:contextualSpacing/>
    </w:pPr>
  </w:style>
  <w:style w:type="character" w:styleId="Accentuationintense">
    <w:name w:val="Intense Emphasis"/>
    <w:basedOn w:val="Policepardfaut"/>
    <w:uiPriority w:val="21"/>
    <w:qFormat/>
    <w:rsid w:val="00C04A71"/>
    <w:rPr>
      <w:i/>
      <w:iCs/>
      <w:color w:val="0F4761" w:themeColor="accent1" w:themeShade="BF"/>
    </w:rPr>
  </w:style>
  <w:style w:type="paragraph" w:styleId="Citationintense">
    <w:name w:val="Intense Quote"/>
    <w:basedOn w:val="Normal"/>
    <w:next w:val="Normal"/>
    <w:link w:val="CitationintenseCar"/>
    <w:uiPriority w:val="30"/>
    <w:qFormat/>
    <w:rsid w:val="00C04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4A71"/>
    <w:rPr>
      <w:i/>
      <w:iCs/>
      <w:color w:val="0F4761" w:themeColor="accent1" w:themeShade="BF"/>
      <w:lang w:val="fr-FR"/>
    </w:rPr>
  </w:style>
  <w:style w:type="character" w:styleId="Rfrenceintense">
    <w:name w:val="Intense Reference"/>
    <w:basedOn w:val="Policepardfaut"/>
    <w:uiPriority w:val="32"/>
    <w:qFormat/>
    <w:rsid w:val="00C04A71"/>
    <w:rPr>
      <w:b/>
      <w:bCs/>
      <w:smallCaps/>
      <w:color w:val="0F4761" w:themeColor="accent1" w:themeShade="BF"/>
      <w:spacing w:val="5"/>
    </w:rPr>
  </w:style>
  <w:style w:type="character" w:styleId="Lienhypertexte">
    <w:name w:val="Hyperlink"/>
    <w:basedOn w:val="Policepardfaut"/>
    <w:uiPriority w:val="99"/>
    <w:unhideWhenUsed/>
    <w:rsid w:val="00C04A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thromassal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MASSALA PEYA Jethro</dc:creator>
  <cp:keywords/>
  <dc:description/>
  <cp:lastModifiedBy>MASSALA PEYA Jethro</cp:lastModifiedBy>
  <cp:revision>1</cp:revision>
  <dcterms:created xsi:type="dcterms:W3CDTF">2025-06-27T16:24:00Z</dcterms:created>
  <dcterms:modified xsi:type="dcterms:W3CDTF">2025-06-27T16:26:00Z</dcterms:modified>
</cp:coreProperties>
</file>