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32D8" w14:textId="71EC2430" w:rsidR="00E2501F" w:rsidRDefault="00E2501F" w:rsidP="00E2501F">
      <w:pPr>
        <w:spacing w:after="0" w:line="360" w:lineRule="auto"/>
        <w:rPr>
          <w:rFonts w:cstheme="minorHAnsi"/>
          <w:b/>
          <w:bCs/>
          <w:sz w:val="24"/>
          <w:szCs w:val="24"/>
        </w:rPr>
      </w:pPr>
      <w:r w:rsidRPr="00E2501F">
        <w:rPr>
          <w:rFonts w:cstheme="minorHAnsi"/>
          <w:b/>
          <w:bCs/>
          <w:sz w:val="24"/>
          <w:szCs w:val="24"/>
        </w:rPr>
        <w:t xml:space="preserve">Etude </w:t>
      </w:r>
      <w:r w:rsidR="000075F8">
        <w:rPr>
          <w:rFonts w:cstheme="minorHAnsi"/>
          <w:b/>
          <w:bCs/>
          <w:sz w:val="24"/>
          <w:szCs w:val="24"/>
        </w:rPr>
        <w:t>d</w:t>
      </w:r>
      <w:r w:rsidRPr="00E2501F">
        <w:rPr>
          <w:rFonts w:cstheme="minorHAnsi"/>
          <w:b/>
          <w:bCs/>
          <w:sz w:val="24"/>
          <w:szCs w:val="24"/>
        </w:rPr>
        <w:t>es déterminants des besoins non satisfaits en matière de planification familiale en Guinée</w:t>
      </w:r>
      <w:r w:rsidR="00805B3A">
        <w:rPr>
          <w:rFonts w:cstheme="minorHAnsi"/>
          <w:b/>
          <w:bCs/>
          <w:sz w:val="24"/>
          <w:szCs w:val="24"/>
        </w:rPr>
        <w:t>, 2025</w:t>
      </w:r>
    </w:p>
    <w:p w14:paraId="72526E26" w14:textId="35FCDC47" w:rsidR="00E36DA9" w:rsidRDefault="00E36DA9" w:rsidP="00E2501F">
      <w:pPr>
        <w:spacing w:after="0" w:line="360" w:lineRule="auto"/>
        <w:rPr>
          <w:rFonts w:cstheme="minorHAnsi"/>
          <w:i/>
          <w:iCs/>
          <w:sz w:val="24"/>
          <w:szCs w:val="24"/>
        </w:rPr>
      </w:pPr>
      <w:r w:rsidRPr="00E36DA9">
        <w:rPr>
          <w:rFonts w:cstheme="minorHAnsi"/>
          <w:i/>
          <w:iCs/>
          <w:sz w:val="24"/>
          <w:szCs w:val="24"/>
        </w:rPr>
        <w:t>Auteurs</w:t>
      </w:r>
    </w:p>
    <w:p w14:paraId="56838FB5" w14:textId="24768B52" w:rsidR="00E36DA9" w:rsidRPr="00E36DA9" w:rsidRDefault="00E36DA9" w:rsidP="00E2501F">
      <w:pPr>
        <w:spacing w:after="0" w:line="360" w:lineRule="auto"/>
        <w:rPr>
          <w:rFonts w:cstheme="minorHAnsi"/>
          <w:i/>
          <w:iCs/>
          <w:sz w:val="24"/>
          <w:szCs w:val="24"/>
        </w:rPr>
      </w:pPr>
      <w:r>
        <w:rPr>
          <w:rFonts w:cstheme="minorHAnsi"/>
          <w:i/>
          <w:iCs/>
          <w:sz w:val="24"/>
          <w:szCs w:val="24"/>
        </w:rPr>
        <w:t>Hawa Manet</w:t>
      </w:r>
      <w:r w:rsidRPr="007554D5">
        <w:rPr>
          <w:rFonts w:cstheme="minorHAnsi"/>
          <w:i/>
          <w:iCs/>
          <w:sz w:val="24"/>
          <w:szCs w:val="24"/>
          <w:vertAlign w:val="superscript"/>
        </w:rPr>
        <w:t>1,2,3</w:t>
      </w:r>
      <w:r>
        <w:rPr>
          <w:rFonts w:cstheme="minorHAnsi"/>
          <w:i/>
          <w:iCs/>
          <w:sz w:val="24"/>
          <w:szCs w:val="24"/>
        </w:rPr>
        <w:t>, Facely Camara</w:t>
      </w:r>
      <w:r w:rsidRPr="007554D5">
        <w:rPr>
          <w:rFonts w:cstheme="minorHAnsi"/>
          <w:i/>
          <w:iCs/>
          <w:sz w:val="24"/>
          <w:szCs w:val="24"/>
          <w:vertAlign w:val="superscript"/>
        </w:rPr>
        <w:t>2,4</w:t>
      </w:r>
      <w:r w:rsidR="00805B3A">
        <w:rPr>
          <w:rFonts w:cstheme="minorHAnsi"/>
          <w:i/>
          <w:iCs/>
          <w:sz w:val="24"/>
          <w:szCs w:val="24"/>
        </w:rPr>
        <w:t xml:space="preserve">, </w:t>
      </w:r>
      <w:r>
        <w:rPr>
          <w:rFonts w:cstheme="minorHAnsi"/>
          <w:i/>
          <w:iCs/>
          <w:sz w:val="24"/>
          <w:szCs w:val="24"/>
        </w:rPr>
        <w:t>Mariama</w:t>
      </w:r>
      <w:r w:rsidR="00805B3A">
        <w:rPr>
          <w:rFonts w:cstheme="minorHAnsi"/>
          <w:i/>
          <w:iCs/>
          <w:sz w:val="24"/>
          <w:szCs w:val="24"/>
        </w:rPr>
        <w:t xml:space="preserve"> </w:t>
      </w:r>
      <w:r>
        <w:rPr>
          <w:rFonts w:cstheme="minorHAnsi"/>
          <w:i/>
          <w:iCs/>
          <w:sz w:val="24"/>
          <w:szCs w:val="24"/>
        </w:rPr>
        <w:t>Kouyaté</w:t>
      </w:r>
      <w:proofErr w:type="gramStart"/>
      <w:r w:rsidRPr="007554D5">
        <w:rPr>
          <w:rFonts w:cstheme="minorHAnsi"/>
          <w:i/>
          <w:iCs/>
          <w:sz w:val="24"/>
          <w:szCs w:val="24"/>
          <w:vertAlign w:val="superscript"/>
        </w:rPr>
        <w:t>1</w:t>
      </w:r>
      <w:r>
        <w:rPr>
          <w:rFonts w:cstheme="minorHAnsi"/>
          <w:i/>
          <w:iCs/>
          <w:sz w:val="24"/>
          <w:szCs w:val="24"/>
        </w:rPr>
        <w:t> </w:t>
      </w:r>
      <w:r w:rsidR="00805B3A">
        <w:rPr>
          <w:rFonts w:cstheme="minorHAnsi"/>
          <w:i/>
          <w:iCs/>
          <w:sz w:val="24"/>
          <w:szCs w:val="24"/>
        </w:rPr>
        <w:t>,</w:t>
      </w:r>
      <w:proofErr w:type="gramEnd"/>
      <w:r w:rsidR="00805B3A">
        <w:rPr>
          <w:rFonts w:cstheme="minorHAnsi"/>
          <w:i/>
          <w:iCs/>
          <w:sz w:val="24"/>
          <w:szCs w:val="24"/>
        </w:rPr>
        <w:t xml:space="preserve"> </w:t>
      </w:r>
      <w:r>
        <w:rPr>
          <w:rFonts w:cstheme="minorHAnsi"/>
          <w:i/>
          <w:iCs/>
          <w:sz w:val="24"/>
          <w:szCs w:val="24"/>
        </w:rPr>
        <w:t>Alexandre Delamou</w:t>
      </w:r>
      <w:r w:rsidR="007554D5" w:rsidRPr="007554D5">
        <w:rPr>
          <w:rFonts w:cstheme="minorHAnsi"/>
          <w:i/>
          <w:iCs/>
          <w:sz w:val="24"/>
          <w:szCs w:val="24"/>
          <w:vertAlign w:val="superscript"/>
        </w:rPr>
        <w:t>1,2,3</w:t>
      </w:r>
    </w:p>
    <w:p w14:paraId="0F3441DA" w14:textId="77777777" w:rsidR="00E36DA9" w:rsidRPr="00E36DA9" w:rsidRDefault="00E36DA9" w:rsidP="00E2501F">
      <w:pPr>
        <w:spacing w:after="0" w:line="360" w:lineRule="auto"/>
        <w:rPr>
          <w:rFonts w:cstheme="minorHAnsi"/>
          <w:i/>
          <w:iCs/>
          <w:sz w:val="24"/>
          <w:szCs w:val="24"/>
        </w:rPr>
      </w:pPr>
    </w:p>
    <w:p w14:paraId="38E78F2D" w14:textId="00E8162F" w:rsidR="00E36DA9" w:rsidRDefault="00E36DA9" w:rsidP="00E2501F">
      <w:pPr>
        <w:spacing w:after="0" w:line="360" w:lineRule="auto"/>
        <w:rPr>
          <w:rFonts w:cstheme="minorHAnsi"/>
          <w:b/>
          <w:bCs/>
          <w:sz w:val="24"/>
          <w:szCs w:val="24"/>
        </w:rPr>
      </w:pPr>
      <w:r w:rsidRPr="00E36DA9">
        <w:rPr>
          <w:rFonts w:cstheme="minorHAnsi"/>
          <w:b/>
          <w:bCs/>
          <w:sz w:val="24"/>
          <w:szCs w:val="24"/>
        </w:rPr>
        <w:t>Affiliations</w:t>
      </w:r>
    </w:p>
    <w:p w14:paraId="2D514601" w14:textId="77777777" w:rsidR="00E36DA9" w:rsidRDefault="00E36DA9" w:rsidP="00E36DA9">
      <w:pPr>
        <w:pStyle w:val="NormalWeb"/>
        <w:spacing w:before="0" w:beforeAutospacing="0" w:after="0" w:afterAutospacing="0" w:line="360" w:lineRule="auto"/>
        <w:jc w:val="both"/>
        <w:rPr>
          <w:rFonts w:eastAsia="Calibri"/>
          <w:i/>
          <w:iCs/>
          <w:lang w:eastAsia="en-US"/>
        </w:rPr>
      </w:pPr>
      <w:r>
        <w:rPr>
          <w:rFonts w:eastAsia="Calibri"/>
          <w:i/>
          <w:iCs/>
          <w:vertAlign w:val="superscript"/>
          <w:lang w:eastAsia="en-US"/>
        </w:rPr>
        <w:t>1</w:t>
      </w:r>
      <w:r>
        <w:rPr>
          <w:rFonts w:eastAsia="Calibri"/>
          <w:i/>
          <w:iCs/>
          <w:lang w:eastAsia="en-US"/>
        </w:rPr>
        <w:t>Centre d’Excellence d’Afrique pour la prévention et le contrôle des maladies Transmissibles, Université Gamal Abdel Nasser, Conakry, Guinée</w:t>
      </w:r>
    </w:p>
    <w:p w14:paraId="21F763CA" w14:textId="77777777" w:rsidR="00E36DA9" w:rsidRDefault="00E36DA9" w:rsidP="00E36DA9">
      <w:pPr>
        <w:pStyle w:val="NormalWeb"/>
        <w:spacing w:before="0" w:beforeAutospacing="0" w:after="0" w:afterAutospacing="0" w:line="360" w:lineRule="auto"/>
        <w:jc w:val="both"/>
        <w:rPr>
          <w:rFonts w:eastAsia="Calibri"/>
          <w:i/>
          <w:iCs/>
          <w:lang w:eastAsia="en-US"/>
        </w:rPr>
      </w:pPr>
      <w:r>
        <w:rPr>
          <w:rFonts w:eastAsia="Calibri"/>
          <w:i/>
          <w:iCs/>
          <w:vertAlign w:val="superscript"/>
          <w:lang w:eastAsia="en-US"/>
        </w:rPr>
        <w:t>2</w:t>
      </w:r>
      <w:r>
        <w:rPr>
          <w:rFonts w:eastAsia="Calibri"/>
          <w:i/>
          <w:iCs/>
          <w:lang w:eastAsia="en-US"/>
        </w:rPr>
        <w:t>Chaire de Santé Publique, Université Gamal Abdel Nasser, Conakry, Guinée</w:t>
      </w:r>
    </w:p>
    <w:p w14:paraId="2ABC048A" w14:textId="77777777" w:rsidR="00E36DA9" w:rsidRDefault="00E36DA9" w:rsidP="00E36DA9">
      <w:pPr>
        <w:pStyle w:val="NormalWeb"/>
        <w:spacing w:before="0" w:beforeAutospacing="0" w:after="0" w:afterAutospacing="0" w:line="360" w:lineRule="auto"/>
        <w:jc w:val="both"/>
        <w:rPr>
          <w:rFonts w:eastAsia="Calibri"/>
          <w:i/>
          <w:iCs/>
          <w:lang w:eastAsia="en-US"/>
        </w:rPr>
      </w:pPr>
      <w:r>
        <w:rPr>
          <w:rFonts w:eastAsia="Calibri"/>
          <w:i/>
          <w:iCs/>
          <w:vertAlign w:val="superscript"/>
          <w:lang w:eastAsia="en-US"/>
        </w:rPr>
        <w:t>3</w:t>
      </w:r>
      <w:r>
        <w:rPr>
          <w:rFonts w:eastAsia="Calibri"/>
          <w:i/>
          <w:iCs/>
          <w:lang w:eastAsia="en-US"/>
        </w:rPr>
        <w:t>Centre National de Formation et de Recherche en Santé Rurale de Maférinyah, Forécariah, Guinée</w:t>
      </w:r>
    </w:p>
    <w:p w14:paraId="27D246A7" w14:textId="47BDCACA" w:rsidR="00E36DA9" w:rsidRDefault="007554D5" w:rsidP="00E36DA9">
      <w:pPr>
        <w:pStyle w:val="NormalWeb"/>
        <w:spacing w:before="0" w:beforeAutospacing="0" w:after="0" w:afterAutospacing="0" w:line="360" w:lineRule="auto"/>
        <w:jc w:val="both"/>
        <w:rPr>
          <w:rFonts w:eastAsia="Calibri"/>
          <w:i/>
          <w:iCs/>
          <w:lang w:eastAsia="en-US"/>
        </w:rPr>
      </w:pPr>
      <w:r w:rsidRPr="007554D5">
        <w:rPr>
          <w:rFonts w:eastAsia="Calibri"/>
          <w:i/>
          <w:iCs/>
          <w:vertAlign w:val="superscript"/>
          <w:lang w:eastAsia="en-US"/>
        </w:rPr>
        <w:t>4</w:t>
      </w:r>
      <w:r w:rsidR="00E36DA9">
        <w:rPr>
          <w:rFonts w:eastAsia="Calibri"/>
          <w:i/>
          <w:iCs/>
          <w:lang w:eastAsia="en-US"/>
        </w:rPr>
        <w:t>Ministère de la Santé et de</w:t>
      </w:r>
      <w:r>
        <w:rPr>
          <w:rFonts w:eastAsia="Calibri"/>
          <w:i/>
          <w:iCs/>
          <w:lang w:eastAsia="en-US"/>
        </w:rPr>
        <w:t xml:space="preserve"> l’Hygiènne Publique, Direction Nationale de la Santé Familiale et de la Nutrition</w:t>
      </w:r>
    </w:p>
    <w:p w14:paraId="03BAB534" w14:textId="77777777" w:rsidR="00E36DA9" w:rsidRPr="00E36DA9" w:rsidRDefault="00E36DA9" w:rsidP="00E2501F">
      <w:pPr>
        <w:spacing w:after="0" w:line="360" w:lineRule="auto"/>
        <w:rPr>
          <w:rFonts w:cstheme="minorHAnsi"/>
          <w:b/>
          <w:bCs/>
          <w:sz w:val="24"/>
          <w:szCs w:val="24"/>
        </w:rPr>
      </w:pPr>
    </w:p>
    <w:p w14:paraId="49557E0C" w14:textId="1A80AE9B" w:rsidR="00E2501F" w:rsidRPr="00E2501F" w:rsidRDefault="00E2501F" w:rsidP="00E2501F">
      <w:pPr>
        <w:spacing w:after="0" w:line="360" w:lineRule="auto"/>
        <w:rPr>
          <w:rFonts w:cstheme="minorHAnsi"/>
          <w:b/>
          <w:bCs/>
          <w:sz w:val="24"/>
          <w:szCs w:val="24"/>
        </w:rPr>
      </w:pPr>
      <w:r w:rsidRPr="00E2501F">
        <w:rPr>
          <w:rFonts w:cstheme="minorHAnsi"/>
          <w:b/>
          <w:bCs/>
          <w:sz w:val="24"/>
          <w:szCs w:val="24"/>
        </w:rPr>
        <w:t>Introduction</w:t>
      </w:r>
    </w:p>
    <w:p w14:paraId="6F9B94F2" w14:textId="77777777" w:rsidR="00AE0B0F" w:rsidRDefault="00AE0B0F" w:rsidP="00E2501F">
      <w:pPr>
        <w:spacing w:after="0" w:line="360" w:lineRule="auto"/>
        <w:rPr>
          <w:rFonts w:cstheme="minorHAnsi"/>
          <w:sz w:val="24"/>
          <w:szCs w:val="24"/>
        </w:rPr>
      </w:pPr>
      <w:r w:rsidRPr="00AE0B0F">
        <w:rPr>
          <w:rFonts w:cstheme="minorHAnsi"/>
          <w:sz w:val="24"/>
          <w:szCs w:val="24"/>
        </w:rPr>
        <w:t>En Guinée, 27,6 % des femmes en union ont un besoin non satisfait en contraception, malgré une augmentation de l'utilisation des méthodes modernes (11 % en 2018). Assurer l'accès universel à la santé reproductive est une priorité. Cette étude visait à analyser les déterminants des besoins non satisfaits en planification familiale (PF) chez les femmes en âge de procréer, explorer l'impact des normes culturelles et économiques, et proposer des solutions concrètes.</w:t>
      </w:r>
    </w:p>
    <w:p w14:paraId="08EABE1B" w14:textId="11406CD3" w:rsidR="00E2501F" w:rsidRPr="00E2501F" w:rsidRDefault="00E2501F" w:rsidP="00E2501F">
      <w:pPr>
        <w:spacing w:after="0" w:line="360" w:lineRule="auto"/>
        <w:rPr>
          <w:rFonts w:cstheme="minorHAnsi"/>
          <w:b/>
          <w:bCs/>
          <w:sz w:val="24"/>
          <w:szCs w:val="24"/>
        </w:rPr>
      </w:pPr>
      <w:r w:rsidRPr="00E2501F">
        <w:rPr>
          <w:rFonts w:cstheme="minorHAnsi"/>
          <w:b/>
          <w:bCs/>
          <w:sz w:val="24"/>
          <w:szCs w:val="24"/>
        </w:rPr>
        <w:t>Méthodes</w:t>
      </w:r>
    </w:p>
    <w:p w14:paraId="0DDCE0FD" w14:textId="605ABA99" w:rsidR="00AE0B0F" w:rsidRDefault="00AE0B0F" w:rsidP="00E2501F">
      <w:pPr>
        <w:spacing w:after="0" w:line="360" w:lineRule="auto"/>
        <w:rPr>
          <w:rFonts w:cstheme="minorHAnsi"/>
          <w:sz w:val="24"/>
          <w:szCs w:val="24"/>
        </w:rPr>
      </w:pPr>
      <w:r w:rsidRPr="00AE0B0F">
        <w:rPr>
          <w:rFonts w:cstheme="minorHAnsi"/>
          <w:sz w:val="24"/>
          <w:szCs w:val="24"/>
        </w:rPr>
        <w:t>Une étude mixte (quantitative et qualitative) a été menée à Boké, Labé, Kankan et N’Zérékoré. Les données ont été collectées via une enquête</w:t>
      </w:r>
      <w:r>
        <w:rPr>
          <w:rFonts w:cstheme="minorHAnsi"/>
          <w:sz w:val="24"/>
          <w:szCs w:val="24"/>
        </w:rPr>
        <w:t xml:space="preserve"> par questionnaire</w:t>
      </w:r>
      <w:r w:rsidRPr="00AE0B0F">
        <w:rPr>
          <w:rFonts w:cstheme="minorHAnsi"/>
          <w:sz w:val="24"/>
          <w:szCs w:val="24"/>
        </w:rPr>
        <w:t xml:space="preserve"> auprès de 1160 participants et 84 entretiens individuels. Les analyses ont évalué les associations entre variables sociodémographiques et besoins, et exploré les perceptions et obstacles. Le modèle socio-écologique a guidé l'analyse.</w:t>
      </w:r>
    </w:p>
    <w:p w14:paraId="6642A184" w14:textId="2DF43D35" w:rsidR="00E2501F" w:rsidRPr="00E2501F" w:rsidRDefault="00E2501F" w:rsidP="00E2501F">
      <w:pPr>
        <w:spacing w:after="0" w:line="360" w:lineRule="auto"/>
        <w:rPr>
          <w:rFonts w:cstheme="minorHAnsi"/>
          <w:b/>
          <w:bCs/>
          <w:sz w:val="24"/>
          <w:szCs w:val="24"/>
        </w:rPr>
      </w:pPr>
      <w:r w:rsidRPr="00E2501F">
        <w:rPr>
          <w:rFonts w:cstheme="minorHAnsi"/>
          <w:b/>
          <w:bCs/>
          <w:sz w:val="24"/>
          <w:szCs w:val="24"/>
        </w:rPr>
        <w:t>Résultats</w:t>
      </w:r>
    </w:p>
    <w:p w14:paraId="0B2F6EB0" w14:textId="3C7ED788" w:rsidR="00C54DB3" w:rsidRPr="00E2501F" w:rsidRDefault="00AE0B0F" w:rsidP="00E2501F">
      <w:pPr>
        <w:spacing w:after="0" w:line="360" w:lineRule="auto"/>
        <w:rPr>
          <w:rFonts w:cstheme="minorHAnsi"/>
          <w:sz w:val="24"/>
          <w:szCs w:val="24"/>
        </w:rPr>
      </w:pPr>
      <w:r w:rsidRPr="00AE0B0F">
        <w:rPr>
          <w:rFonts w:cstheme="minorHAnsi"/>
          <w:sz w:val="24"/>
          <w:szCs w:val="24"/>
        </w:rPr>
        <w:t xml:space="preserve">Les déterminants des besoins non satisfaits en PF sont multiples. La majorité des participantes ont entre 20 et 29 ans (45%) et résident en milieu urbain (86,3%), avec un taux d'analphabétisme de 32,8%. Les barrières majeures incluent les craintes liées aux effets secondaires (23,4%), l'opposition des partenaires (13,3%), et les obstacles religieux (15,1%). </w:t>
      </w:r>
      <w:r w:rsidRPr="00AE0B0F">
        <w:rPr>
          <w:rFonts w:cstheme="minorHAnsi"/>
          <w:sz w:val="24"/>
          <w:szCs w:val="24"/>
        </w:rPr>
        <w:lastRenderedPageBreak/>
        <w:t>Le manque d'information augmente de cinq fois la probabilité de besoins non satisfaits (OR = 5,328). Les normes culturelles et économiques, comme les inégalités de genre et les barrières religieuses, limitent l'autonomie des femmes. Les coûts des contraceptifs (Kankan) et les fréquentes ruptures de stock (N’Zérékoré, 25,6%) constituent des contraintes. Les solutions proposées incluent la décentralisation des services de PF, la lutte contre la stigmatisation, l'implication des hommes, la sécurisation des stocks, le renforcement de l'éducation sexuelle et reproductive, et la réduction des coûts.</w:t>
      </w:r>
    </w:p>
    <w:p w14:paraId="7E0A86A2" w14:textId="77777777" w:rsidR="00E2501F" w:rsidRPr="00E2501F" w:rsidRDefault="00E2501F" w:rsidP="00E2501F">
      <w:pPr>
        <w:spacing w:after="0" w:line="360" w:lineRule="auto"/>
        <w:rPr>
          <w:rFonts w:cstheme="minorHAnsi"/>
          <w:b/>
          <w:bCs/>
          <w:sz w:val="24"/>
          <w:szCs w:val="24"/>
        </w:rPr>
      </w:pPr>
      <w:r w:rsidRPr="00E2501F">
        <w:rPr>
          <w:rFonts w:cstheme="minorHAnsi"/>
          <w:b/>
          <w:bCs/>
          <w:sz w:val="24"/>
          <w:szCs w:val="24"/>
        </w:rPr>
        <w:t>Conclusion</w:t>
      </w:r>
    </w:p>
    <w:p w14:paraId="6891DB4B" w14:textId="77777777" w:rsidR="00AE0B0F" w:rsidRDefault="00AE0B0F" w:rsidP="00E2501F">
      <w:pPr>
        <w:spacing w:after="0" w:line="360" w:lineRule="auto"/>
        <w:rPr>
          <w:rFonts w:cstheme="minorHAnsi"/>
          <w:sz w:val="24"/>
          <w:szCs w:val="24"/>
        </w:rPr>
      </w:pPr>
      <w:r w:rsidRPr="00AE0B0F">
        <w:rPr>
          <w:rFonts w:cstheme="minorHAnsi"/>
          <w:sz w:val="24"/>
          <w:szCs w:val="24"/>
        </w:rPr>
        <w:t>Les besoins non satisfaits en PF en Guinée sont influencés par des facteurs sociodémographiques, le manque de connaissances, les obstacles d'accès, et des freins socioculturels profonds. Des interventions ciblées et intégrées sont impératives.</w:t>
      </w:r>
    </w:p>
    <w:p w14:paraId="0A8F28D5" w14:textId="340CC297" w:rsidR="008C32A8" w:rsidRPr="00E2501F" w:rsidRDefault="00E2501F" w:rsidP="00E2501F">
      <w:pPr>
        <w:spacing w:after="0" w:line="360" w:lineRule="auto"/>
        <w:rPr>
          <w:rFonts w:cstheme="minorHAnsi"/>
          <w:sz w:val="24"/>
          <w:szCs w:val="24"/>
        </w:rPr>
      </w:pPr>
      <w:r w:rsidRPr="00E2501F">
        <w:rPr>
          <w:rFonts w:cstheme="minorHAnsi"/>
          <w:b/>
          <w:bCs/>
          <w:sz w:val="24"/>
          <w:szCs w:val="24"/>
        </w:rPr>
        <w:t>Mots Clés</w:t>
      </w:r>
      <w:r w:rsidRPr="00E2501F">
        <w:rPr>
          <w:rFonts w:cstheme="minorHAnsi"/>
          <w:sz w:val="24"/>
          <w:szCs w:val="24"/>
        </w:rPr>
        <w:t xml:space="preserve"> : Planification familiale, Besoins non satisfaits, Obstacles, Déterminants, </w:t>
      </w:r>
      <w:r w:rsidR="00C54DB3" w:rsidRPr="00E2501F">
        <w:rPr>
          <w:rFonts w:cstheme="minorHAnsi"/>
          <w:sz w:val="24"/>
          <w:szCs w:val="24"/>
        </w:rPr>
        <w:t>Guinée</w:t>
      </w:r>
      <w:r w:rsidRPr="00E2501F">
        <w:rPr>
          <w:rFonts w:cstheme="minorHAnsi"/>
          <w:sz w:val="24"/>
          <w:szCs w:val="24"/>
        </w:rPr>
        <w:t>.</w:t>
      </w:r>
    </w:p>
    <w:sectPr w:rsidR="008C32A8" w:rsidRPr="00E25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5A"/>
    <w:rsid w:val="000075F8"/>
    <w:rsid w:val="001B5C47"/>
    <w:rsid w:val="001D6D5A"/>
    <w:rsid w:val="00204C98"/>
    <w:rsid w:val="002E7C60"/>
    <w:rsid w:val="002F493B"/>
    <w:rsid w:val="007554D5"/>
    <w:rsid w:val="007F02EE"/>
    <w:rsid w:val="00805B3A"/>
    <w:rsid w:val="00876B24"/>
    <w:rsid w:val="008A112F"/>
    <w:rsid w:val="008C32A8"/>
    <w:rsid w:val="009C4AC3"/>
    <w:rsid w:val="00AE0B0F"/>
    <w:rsid w:val="00C54DB3"/>
    <w:rsid w:val="00C941A0"/>
    <w:rsid w:val="00DE3E47"/>
    <w:rsid w:val="00E2501F"/>
    <w:rsid w:val="00E36DA9"/>
    <w:rsid w:val="00FB0ECE"/>
    <w:rsid w:val="00FE5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B702"/>
  <w15:chartTrackingRefBased/>
  <w15:docId w15:val="{FDC3CCB6-F418-4027-89E3-7172F281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6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D6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D6D5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D6D5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D6D5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D6D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6D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6D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6D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D5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D6D5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6D5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6D5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6D5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6D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6D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6D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6D5A"/>
    <w:rPr>
      <w:rFonts w:eastAsiaTheme="majorEastAsia" w:cstheme="majorBidi"/>
      <w:color w:val="272727" w:themeColor="text1" w:themeTint="D8"/>
    </w:rPr>
  </w:style>
  <w:style w:type="paragraph" w:styleId="Titre">
    <w:name w:val="Title"/>
    <w:basedOn w:val="Normal"/>
    <w:next w:val="Normal"/>
    <w:link w:val="TitreCar"/>
    <w:uiPriority w:val="10"/>
    <w:qFormat/>
    <w:rsid w:val="001D6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D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6D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6D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6D5A"/>
    <w:pPr>
      <w:spacing w:before="160"/>
      <w:jc w:val="center"/>
    </w:pPr>
    <w:rPr>
      <w:i/>
      <w:iCs/>
      <w:color w:val="404040" w:themeColor="text1" w:themeTint="BF"/>
    </w:rPr>
  </w:style>
  <w:style w:type="character" w:customStyle="1" w:styleId="CitationCar">
    <w:name w:val="Citation Car"/>
    <w:basedOn w:val="Policepardfaut"/>
    <w:link w:val="Citation"/>
    <w:uiPriority w:val="29"/>
    <w:rsid w:val="001D6D5A"/>
    <w:rPr>
      <w:i/>
      <w:iCs/>
      <w:color w:val="404040" w:themeColor="text1" w:themeTint="BF"/>
    </w:rPr>
  </w:style>
  <w:style w:type="paragraph" w:styleId="Paragraphedeliste">
    <w:name w:val="List Paragraph"/>
    <w:basedOn w:val="Normal"/>
    <w:uiPriority w:val="34"/>
    <w:qFormat/>
    <w:rsid w:val="001D6D5A"/>
    <w:pPr>
      <w:ind w:left="720"/>
      <w:contextualSpacing/>
    </w:pPr>
  </w:style>
  <w:style w:type="character" w:styleId="Accentuationintense">
    <w:name w:val="Intense Emphasis"/>
    <w:basedOn w:val="Policepardfaut"/>
    <w:uiPriority w:val="21"/>
    <w:qFormat/>
    <w:rsid w:val="001D6D5A"/>
    <w:rPr>
      <w:i/>
      <w:iCs/>
      <w:color w:val="2F5496" w:themeColor="accent1" w:themeShade="BF"/>
    </w:rPr>
  </w:style>
  <w:style w:type="paragraph" w:styleId="Citationintense">
    <w:name w:val="Intense Quote"/>
    <w:basedOn w:val="Normal"/>
    <w:next w:val="Normal"/>
    <w:link w:val="CitationintenseCar"/>
    <w:uiPriority w:val="30"/>
    <w:qFormat/>
    <w:rsid w:val="001D6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D6D5A"/>
    <w:rPr>
      <w:i/>
      <w:iCs/>
      <w:color w:val="2F5496" w:themeColor="accent1" w:themeShade="BF"/>
    </w:rPr>
  </w:style>
  <w:style w:type="character" w:styleId="Rfrenceintense">
    <w:name w:val="Intense Reference"/>
    <w:basedOn w:val="Policepardfaut"/>
    <w:uiPriority w:val="32"/>
    <w:qFormat/>
    <w:rsid w:val="001D6D5A"/>
    <w:rPr>
      <w:b/>
      <w:bCs/>
      <w:smallCaps/>
      <w:color w:val="2F5496" w:themeColor="accent1" w:themeShade="BF"/>
      <w:spacing w:val="5"/>
    </w:rPr>
  </w:style>
  <w:style w:type="paragraph" w:styleId="Rvision">
    <w:name w:val="Revision"/>
    <w:hidden/>
    <w:uiPriority w:val="99"/>
    <w:semiHidden/>
    <w:rsid w:val="000075F8"/>
    <w:pPr>
      <w:spacing w:after="0" w:line="240" w:lineRule="auto"/>
    </w:pPr>
  </w:style>
  <w:style w:type="character" w:styleId="Marquedecommentaire">
    <w:name w:val="annotation reference"/>
    <w:basedOn w:val="Policepardfaut"/>
    <w:uiPriority w:val="99"/>
    <w:semiHidden/>
    <w:unhideWhenUsed/>
    <w:rsid w:val="002E7C60"/>
    <w:rPr>
      <w:sz w:val="16"/>
      <w:szCs w:val="16"/>
    </w:rPr>
  </w:style>
  <w:style w:type="paragraph" w:styleId="Commentaire">
    <w:name w:val="annotation text"/>
    <w:basedOn w:val="Normal"/>
    <w:link w:val="CommentaireCar"/>
    <w:uiPriority w:val="99"/>
    <w:semiHidden/>
    <w:unhideWhenUsed/>
    <w:rsid w:val="002E7C60"/>
    <w:pPr>
      <w:spacing w:line="240" w:lineRule="auto"/>
    </w:pPr>
    <w:rPr>
      <w:sz w:val="20"/>
      <w:szCs w:val="20"/>
    </w:rPr>
  </w:style>
  <w:style w:type="character" w:customStyle="1" w:styleId="CommentaireCar">
    <w:name w:val="Commentaire Car"/>
    <w:basedOn w:val="Policepardfaut"/>
    <w:link w:val="Commentaire"/>
    <w:uiPriority w:val="99"/>
    <w:semiHidden/>
    <w:rsid w:val="002E7C60"/>
    <w:rPr>
      <w:sz w:val="20"/>
      <w:szCs w:val="20"/>
    </w:rPr>
  </w:style>
  <w:style w:type="paragraph" w:styleId="Objetducommentaire">
    <w:name w:val="annotation subject"/>
    <w:basedOn w:val="Commentaire"/>
    <w:next w:val="Commentaire"/>
    <w:link w:val="ObjetducommentaireCar"/>
    <w:uiPriority w:val="99"/>
    <w:semiHidden/>
    <w:unhideWhenUsed/>
    <w:rsid w:val="002E7C60"/>
    <w:rPr>
      <w:b/>
      <w:bCs/>
    </w:rPr>
  </w:style>
  <w:style w:type="character" w:customStyle="1" w:styleId="ObjetducommentaireCar">
    <w:name w:val="Objet du commentaire Car"/>
    <w:basedOn w:val="CommentaireCar"/>
    <w:link w:val="Objetducommentaire"/>
    <w:uiPriority w:val="99"/>
    <w:semiHidden/>
    <w:rsid w:val="002E7C60"/>
    <w:rPr>
      <w:b/>
      <w:bCs/>
      <w:sz w:val="20"/>
      <w:szCs w:val="20"/>
    </w:rPr>
  </w:style>
  <w:style w:type="paragraph" w:styleId="NormalWeb">
    <w:name w:val="Normal (Web)"/>
    <w:basedOn w:val="Normal"/>
    <w:uiPriority w:val="99"/>
    <w:semiHidden/>
    <w:unhideWhenUsed/>
    <w:rsid w:val="00E36DA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DE9C-2294-41DF-824F-A6A57FD7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435</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 Manet</dc:creator>
  <cp:keywords/>
  <dc:description/>
  <cp:lastModifiedBy>Hawa Manet</cp:lastModifiedBy>
  <cp:revision>4</cp:revision>
  <dcterms:created xsi:type="dcterms:W3CDTF">2025-07-02T18:37:00Z</dcterms:created>
  <dcterms:modified xsi:type="dcterms:W3CDTF">2025-07-05T07:48:00Z</dcterms:modified>
</cp:coreProperties>
</file>